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D" w:rsidRPr="00657770" w:rsidRDefault="00657770" w:rsidP="00657770">
      <w:pPr>
        <w:jc w:val="center"/>
        <w:rPr>
          <w:b/>
          <w:sz w:val="28"/>
          <w:szCs w:val="28"/>
          <w:lang w:val="en-US"/>
        </w:rPr>
      </w:pPr>
      <w:r w:rsidRPr="00657770">
        <w:rPr>
          <w:b/>
          <w:sz w:val="28"/>
          <w:szCs w:val="28"/>
          <w:lang w:val="en-US"/>
        </w:rPr>
        <w:t>The non-profit organization "Fund for the Development of Economics and Direct Investments of the Chukotka Autonomous Region"</w:t>
      </w:r>
    </w:p>
    <w:p w:rsidR="007A2C8D" w:rsidRPr="00657770" w:rsidRDefault="007A2C8D" w:rsidP="00A20795">
      <w:pPr>
        <w:jc w:val="right"/>
        <w:rPr>
          <w:b/>
          <w:sz w:val="28"/>
          <w:szCs w:val="28"/>
          <w:lang w:val="en-US"/>
        </w:rPr>
      </w:pPr>
    </w:p>
    <w:p w:rsidR="00A20795" w:rsidRPr="00657770" w:rsidRDefault="00A20795" w:rsidP="00A20795">
      <w:pPr>
        <w:jc w:val="right"/>
        <w:rPr>
          <w:b/>
          <w:sz w:val="28"/>
          <w:szCs w:val="28"/>
          <w:lang w:val="en-US"/>
        </w:rPr>
      </w:pPr>
      <w:r w:rsidRPr="00657770">
        <w:rPr>
          <w:b/>
          <w:sz w:val="28"/>
          <w:szCs w:val="28"/>
          <w:lang w:val="en-US"/>
        </w:rPr>
        <w:tab/>
      </w:r>
      <w:r w:rsidRPr="00657770">
        <w:rPr>
          <w:b/>
          <w:sz w:val="28"/>
          <w:szCs w:val="28"/>
          <w:lang w:val="en-US"/>
        </w:rPr>
        <w:tab/>
      </w:r>
      <w:r w:rsidRPr="00657770">
        <w:rPr>
          <w:b/>
          <w:sz w:val="28"/>
          <w:szCs w:val="28"/>
          <w:lang w:val="en-US"/>
        </w:rPr>
        <w:tab/>
      </w:r>
      <w:r w:rsidRPr="00657770">
        <w:rPr>
          <w:b/>
          <w:sz w:val="28"/>
          <w:szCs w:val="28"/>
          <w:lang w:val="en-US"/>
        </w:rPr>
        <w:tab/>
      </w:r>
      <w:r w:rsidRPr="00657770">
        <w:rPr>
          <w:b/>
          <w:sz w:val="28"/>
          <w:szCs w:val="28"/>
          <w:lang w:val="en-US"/>
        </w:rPr>
        <w:tab/>
        <w:t xml:space="preserve">    </w:t>
      </w:r>
    </w:p>
    <w:tbl>
      <w:tblPr>
        <w:tblW w:w="3828" w:type="dxa"/>
        <w:tblInd w:w="6237" w:type="dxa"/>
        <w:tblLayout w:type="fixed"/>
        <w:tblLook w:val="0000" w:firstRow="0" w:lastRow="0" w:firstColumn="0" w:lastColumn="0" w:noHBand="0" w:noVBand="0"/>
      </w:tblPr>
      <w:tblGrid>
        <w:gridCol w:w="3828"/>
      </w:tblGrid>
      <w:tr w:rsidR="00A20795" w:rsidRPr="00C368BE" w:rsidTr="00256377">
        <w:trPr>
          <w:trHeight w:val="1662"/>
        </w:trPr>
        <w:tc>
          <w:tcPr>
            <w:tcW w:w="3828" w:type="dxa"/>
          </w:tcPr>
          <w:p w:rsidR="00A20795" w:rsidRPr="00657770" w:rsidRDefault="00A20795" w:rsidP="00A20795">
            <w:pPr>
              <w:ind w:right="-108"/>
              <w:jc w:val="right"/>
              <w:rPr>
                <w:sz w:val="28"/>
                <w:szCs w:val="28"/>
                <w:lang w:val="en-US"/>
              </w:rPr>
            </w:pPr>
          </w:p>
          <w:p w:rsidR="00256377" w:rsidRDefault="00C368BE" w:rsidP="00256377">
            <w:pPr>
              <w:ind w:right="-108"/>
              <w:rPr>
                <w:b/>
                <w:sz w:val="28"/>
                <w:szCs w:val="28"/>
              </w:rPr>
            </w:pPr>
            <w:r w:rsidRPr="00C368BE">
              <w:rPr>
                <w:b/>
                <w:sz w:val="28"/>
                <w:szCs w:val="28"/>
                <w:lang w:val="en-US"/>
              </w:rPr>
              <w:t xml:space="preserve">APPROVED </w:t>
            </w:r>
          </w:p>
          <w:p w:rsidR="00C368BE" w:rsidRPr="00C368BE" w:rsidRDefault="00C368BE" w:rsidP="00256377">
            <w:pPr>
              <w:ind w:right="-108"/>
              <w:rPr>
                <w:sz w:val="28"/>
                <w:szCs w:val="28"/>
              </w:rPr>
            </w:pPr>
          </w:p>
          <w:p w:rsidR="00C368BE" w:rsidRDefault="00C368BE" w:rsidP="00C368BE">
            <w:pPr>
              <w:ind w:right="-108"/>
              <w:rPr>
                <w:sz w:val="28"/>
                <w:szCs w:val="28"/>
              </w:rPr>
            </w:pPr>
            <w:r w:rsidRPr="00C368BE">
              <w:rPr>
                <w:sz w:val="28"/>
                <w:szCs w:val="28"/>
                <w:lang w:val="en-US"/>
              </w:rPr>
              <w:t xml:space="preserve">by the Fund Council Minutes </w:t>
            </w:r>
          </w:p>
          <w:p w:rsidR="00C368BE" w:rsidRDefault="00C368BE" w:rsidP="00C368BE">
            <w:pPr>
              <w:ind w:right="-108"/>
              <w:rPr>
                <w:sz w:val="28"/>
                <w:szCs w:val="28"/>
              </w:rPr>
            </w:pPr>
            <w:r w:rsidRPr="00C368BE">
              <w:rPr>
                <w:sz w:val="28"/>
                <w:szCs w:val="28"/>
                <w:lang w:val="en-US"/>
              </w:rPr>
              <w:t xml:space="preserve">of the meeting No. 3 </w:t>
            </w:r>
          </w:p>
          <w:p w:rsidR="00A20795" w:rsidRPr="00C368BE" w:rsidRDefault="00C368BE" w:rsidP="00C368BE">
            <w:pPr>
              <w:ind w:right="-108"/>
              <w:rPr>
                <w:sz w:val="28"/>
                <w:szCs w:val="28"/>
                <w:lang w:val="en-US"/>
              </w:rPr>
            </w:pPr>
            <w:r w:rsidRPr="00C368BE">
              <w:rPr>
                <w:sz w:val="28"/>
                <w:szCs w:val="28"/>
                <w:lang w:val="en-US"/>
              </w:rPr>
              <w:t>dated February 20, 2017</w:t>
            </w:r>
            <w:r w:rsidR="00A20795" w:rsidRPr="00C368BE">
              <w:rPr>
                <w:sz w:val="28"/>
                <w:szCs w:val="28"/>
                <w:lang w:val="en-US"/>
              </w:rPr>
              <w:t xml:space="preserve"> </w:t>
            </w:r>
          </w:p>
          <w:p w:rsidR="00A20795" w:rsidRPr="00C368BE" w:rsidRDefault="00A20795" w:rsidP="00A20795">
            <w:pPr>
              <w:ind w:right="-108"/>
              <w:jc w:val="right"/>
              <w:rPr>
                <w:sz w:val="28"/>
                <w:szCs w:val="28"/>
                <w:lang w:val="en-US"/>
              </w:rPr>
            </w:pPr>
          </w:p>
          <w:p w:rsidR="00A20795" w:rsidRPr="00C368BE" w:rsidRDefault="00A20795" w:rsidP="00A20795">
            <w:pPr>
              <w:ind w:right="-108"/>
              <w:jc w:val="right"/>
              <w:rPr>
                <w:b/>
                <w:sz w:val="28"/>
                <w:szCs w:val="28"/>
                <w:lang w:val="en-US"/>
              </w:rPr>
            </w:pPr>
            <w:r w:rsidRPr="00C368BE">
              <w:rPr>
                <w:b/>
                <w:sz w:val="28"/>
                <w:szCs w:val="28"/>
                <w:lang w:val="en-US"/>
              </w:rPr>
              <w:t xml:space="preserve"> </w:t>
            </w:r>
          </w:p>
        </w:tc>
      </w:tr>
    </w:tbl>
    <w:p w:rsidR="00006342" w:rsidRPr="00C368BE" w:rsidRDefault="00006342" w:rsidP="004F463A">
      <w:pPr>
        <w:ind w:firstLine="567"/>
        <w:rPr>
          <w:lang w:val="en-US"/>
        </w:rPr>
      </w:pPr>
    </w:p>
    <w:p w:rsidR="00A20795" w:rsidRPr="00C368BE" w:rsidRDefault="00A20795" w:rsidP="004F463A">
      <w:pPr>
        <w:ind w:firstLine="567"/>
        <w:rPr>
          <w:lang w:val="en-US"/>
        </w:rPr>
      </w:pPr>
    </w:p>
    <w:p w:rsidR="00A20795" w:rsidRPr="00C368BE" w:rsidRDefault="00A20795" w:rsidP="004F463A">
      <w:pPr>
        <w:ind w:firstLine="567"/>
        <w:rPr>
          <w:lang w:val="en-US"/>
        </w:rPr>
      </w:pPr>
    </w:p>
    <w:p w:rsidR="00A20795" w:rsidRPr="00C368BE" w:rsidRDefault="00A20795" w:rsidP="004F463A">
      <w:pPr>
        <w:ind w:firstLine="567"/>
        <w:rPr>
          <w:lang w:val="en-US"/>
        </w:rPr>
      </w:pPr>
    </w:p>
    <w:p w:rsidR="00A20795" w:rsidRPr="00C368BE" w:rsidRDefault="00A20795" w:rsidP="004F463A">
      <w:pPr>
        <w:ind w:firstLine="567"/>
        <w:rPr>
          <w:lang w:val="en-US"/>
        </w:rPr>
      </w:pPr>
    </w:p>
    <w:p w:rsidR="004F6FAD" w:rsidRPr="00C368BE" w:rsidRDefault="004F6FAD" w:rsidP="004F463A">
      <w:pPr>
        <w:ind w:firstLine="567"/>
        <w:rPr>
          <w:lang w:val="en-US"/>
        </w:rPr>
      </w:pPr>
    </w:p>
    <w:p w:rsidR="004F6FAD" w:rsidRPr="00C368BE" w:rsidRDefault="004F6FAD" w:rsidP="004F463A">
      <w:pPr>
        <w:ind w:firstLine="567"/>
        <w:rPr>
          <w:lang w:val="en-US"/>
        </w:rPr>
      </w:pPr>
    </w:p>
    <w:p w:rsidR="004F6FAD" w:rsidRPr="00C368BE" w:rsidRDefault="004F6FAD" w:rsidP="004F463A">
      <w:pPr>
        <w:ind w:firstLine="567"/>
        <w:rPr>
          <w:lang w:val="en-US"/>
        </w:rPr>
      </w:pPr>
    </w:p>
    <w:p w:rsidR="004F6FAD" w:rsidRPr="00C368BE" w:rsidRDefault="004F6FAD" w:rsidP="004F463A">
      <w:pPr>
        <w:ind w:firstLine="567"/>
        <w:rPr>
          <w:lang w:val="en-US"/>
        </w:rPr>
      </w:pPr>
    </w:p>
    <w:p w:rsidR="004F6FAD" w:rsidRPr="00C368BE" w:rsidRDefault="004F6FAD" w:rsidP="004F463A">
      <w:pPr>
        <w:ind w:firstLine="567"/>
        <w:rPr>
          <w:lang w:val="en-US"/>
        </w:rPr>
      </w:pPr>
    </w:p>
    <w:p w:rsidR="004F6FAD" w:rsidRPr="00C368BE" w:rsidRDefault="004F6FAD" w:rsidP="004F463A">
      <w:pPr>
        <w:ind w:firstLine="567"/>
        <w:rPr>
          <w:lang w:val="en-US"/>
        </w:rPr>
      </w:pPr>
    </w:p>
    <w:p w:rsidR="00657770" w:rsidRDefault="00657770" w:rsidP="00A20795">
      <w:pPr>
        <w:tabs>
          <w:tab w:val="left" w:pos="720"/>
        </w:tabs>
        <w:autoSpaceDE w:val="0"/>
        <w:jc w:val="center"/>
        <w:rPr>
          <w:b/>
          <w:color w:val="000000"/>
          <w:sz w:val="32"/>
          <w:szCs w:val="32"/>
        </w:rPr>
      </w:pPr>
      <w:r w:rsidRPr="00657770">
        <w:rPr>
          <w:b/>
          <w:color w:val="000000"/>
          <w:sz w:val="32"/>
          <w:szCs w:val="32"/>
          <w:lang w:val="en-US"/>
        </w:rPr>
        <w:t>The order of investment and (or) placement</w:t>
      </w:r>
      <w:r>
        <w:rPr>
          <w:b/>
          <w:color w:val="000000"/>
          <w:sz w:val="32"/>
          <w:szCs w:val="32"/>
          <w:lang w:val="en-US"/>
        </w:rPr>
        <w:t xml:space="preserve"> </w:t>
      </w:r>
    </w:p>
    <w:p w:rsidR="00A20795" w:rsidRPr="00657770" w:rsidRDefault="00657770" w:rsidP="00A20795">
      <w:pPr>
        <w:tabs>
          <w:tab w:val="left" w:pos="720"/>
        </w:tabs>
        <w:autoSpaceDE w:val="0"/>
        <w:jc w:val="center"/>
        <w:rPr>
          <w:b/>
          <w:color w:val="000000"/>
          <w:sz w:val="32"/>
          <w:szCs w:val="32"/>
          <w:lang w:val="en-US"/>
        </w:rPr>
      </w:pPr>
      <w:proofErr w:type="gramStart"/>
      <w:r>
        <w:rPr>
          <w:b/>
          <w:color w:val="000000"/>
          <w:sz w:val="32"/>
          <w:szCs w:val="32"/>
          <w:lang w:val="en-US"/>
        </w:rPr>
        <w:t>of</w:t>
      </w:r>
      <w:proofErr w:type="gramEnd"/>
      <w:r>
        <w:rPr>
          <w:b/>
          <w:color w:val="000000"/>
          <w:sz w:val="32"/>
          <w:szCs w:val="32"/>
          <w:lang w:val="en-US"/>
        </w:rPr>
        <w:t xml:space="preserve"> temporarily available funds</w:t>
      </w:r>
    </w:p>
    <w:p w:rsidR="007A2C8D" w:rsidRPr="00657770" w:rsidRDefault="007A2C8D" w:rsidP="00A20795">
      <w:pPr>
        <w:tabs>
          <w:tab w:val="left" w:pos="720"/>
        </w:tabs>
        <w:autoSpaceDE w:val="0"/>
        <w:jc w:val="center"/>
        <w:rPr>
          <w:b/>
          <w:color w:val="000000"/>
          <w:sz w:val="32"/>
          <w:szCs w:val="32"/>
          <w:lang w:val="en-US"/>
        </w:rPr>
      </w:pPr>
    </w:p>
    <w:p w:rsidR="00A20795" w:rsidRPr="00657770" w:rsidRDefault="00A20795" w:rsidP="00A20795">
      <w:pPr>
        <w:tabs>
          <w:tab w:val="left" w:pos="720"/>
        </w:tabs>
        <w:autoSpaceDE w:val="0"/>
        <w:jc w:val="center"/>
        <w:rPr>
          <w:b/>
          <w:color w:val="000000"/>
          <w:sz w:val="32"/>
          <w:szCs w:val="32"/>
          <w:lang w:val="en-US"/>
        </w:rPr>
      </w:pPr>
    </w:p>
    <w:p w:rsidR="00A20795" w:rsidRPr="00657770" w:rsidRDefault="00A20795" w:rsidP="00A20795">
      <w:pPr>
        <w:ind w:firstLine="567"/>
        <w:rPr>
          <w:b/>
          <w:color w:val="000000"/>
          <w:sz w:val="32"/>
          <w:szCs w:val="32"/>
          <w:lang w:val="en-US"/>
        </w:rPr>
      </w:pPr>
    </w:p>
    <w:p w:rsidR="00A20795" w:rsidRPr="00657770" w:rsidRDefault="00A20795" w:rsidP="00A20795">
      <w:pPr>
        <w:ind w:firstLine="567"/>
        <w:rPr>
          <w:b/>
          <w:color w:val="000000"/>
          <w:sz w:val="32"/>
          <w:szCs w:val="32"/>
          <w:lang w:val="en-US"/>
        </w:rPr>
      </w:pPr>
    </w:p>
    <w:p w:rsidR="00A20795" w:rsidRDefault="00A20795" w:rsidP="00A20795">
      <w:pPr>
        <w:ind w:firstLine="567"/>
        <w:rPr>
          <w:b/>
          <w:color w:val="000000"/>
          <w:sz w:val="32"/>
          <w:szCs w:val="32"/>
        </w:rPr>
      </w:pPr>
    </w:p>
    <w:p w:rsidR="00657770" w:rsidRDefault="00657770" w:rsidP="00A20795">
      <w:pPr>
        <w:ind w:firstLine="567"/>
        <w:rPr>
          <w:b/>
          <w:color w:val="000000"/>
          <w:sz w:val="32"/>
          <w:szCs w:val="32"/>
        </w:rPr>
      </w:pPr>
    </w:p>
    <w:p w:rsidR="00657770" w:rsidRDefault="00657770" w:rsidP="00A20795">
      <w:pPr>
        <w:ind w:firstLine="567"/>
        <w:rPr>
          <w:b/>
          <w:color w:val="000000"/>
          <w:sz w:val="32"/>
          <w:szCs w:val="32"/>
        </w:rPr>
      </w:pPr>
    </w:p>
    <w:p w:rsidR="00657770" w:rsidRDefault="00657770" w:rsidP="00A20795">
      <w:pPr>
        <w:ind w:firstLine="567"/>
        <w:rPr>
          <w:b/>
          <w:color w:val="000000"/>
          <w:sz w:val="32"/>
          <w:szCs w:val="32"/>
        </w:rPr>
      </w:pPr>
    </w:p>
    <w:p w:rsidR="00657770" w:rsidRDefault="00657770" w:rsidP="00A20795">
      <w:pPr>
        <w:ind w:firstLine="567"/>
        <w:rPr>
          <w:b/>
          <w:color w:val="000000"/>
          <w:sz w:val="32"/>
          <w:szCs w:val="32"/>
        </w:rPr>
      </w:pPr>
    </w:p>
    <w:p w:rsidR="00657770" w:rsidRPr="00657770" w:rsidRDefault="00657770" w:rsidP="00A20795">
      <w:pPr>
        <w:ind w:firstLine="567"/>
        <w:rPr>
          <w:b/>
          <w:color w:val="000000"/>
          <w:sz w:val="32"/>
          <w:szCs w:val="32"/>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A20795" w:rsidRPr="00657770" w:rsidRDefault="00A20795" w:rsidP="00A20795">
      <w:pPr>
        <w:ind w:firstLine="567"/>
        <w:rPr>
          <w:lang w:val="en-US"/>
        </w:rPr>
      </w:pPr>
    </w:p>
    <w:p w:rsidR="00657770" w:rsidRPr="00657770" w:rsidRDefault="00657770" w:rsidP="00A20795">
      <w:pPr>
        <w:ind w:firstLine="567"/>
        <w:jc w:val="center"/>
        <w:rPr>
          <w:lang w:val="en-US"/>
        </w:rPr>
      </w:pPr>
      <w:r w:rsidRPr="00657770">
        <w:rPr>
          <w:lang w:val="en-US"/>
        </w:rPr>
        <w:t xml:space="preserve">Anadyr </w:t>
      </w:r>
    </w:p>
    <w:p w:rsidR="00A20795" w:rsidRPr="00657770" w:rsidRDefault="00657770" w:rsidP="00A20795">
      <w:pPr>
        <w:ind w:firstLine="567"/>
        <w:jc w:val="center"/>
        <w:rPr>
          <w:lang w:val="en-US"/>
        </w:rPr>
      </w:pPr>
      <w:r w:rsidRPr="00657770">
        <w:rPr>
          <w:lang w:val="en-US"/>
        </w:rPr>
        <w:t>2017</w:t>
      </w:r>
    </w:p>
    <w:p w:rsidR="00064F60" w:rsidRPr="00657770" w:rsidRDefault="00064F60" w:rsidP="00C0161D">
      <w:pPr>
        <w:ind w:firstLine="567"/>
        <w:jc w:val="center"/>
        <w:rPr>
          <w:rFonts w:cs="Times New Roman"/>
        </w:rPr>
      </w:pPr>
    </w:p>
    <w:p w:rsidR="00241709" w:rsidRDefault="00657770" w:rsidP="00657770">
      <w:pPr>
        <w:ind w:firstLine="567"/>
        <w:jc w:val="center"/>
        <w:rPr>
          <w:rFonts w:cs="Times New Roman"/>
        </w:rPr>
      </w:pPr>
      <w:r w:rsidRPr="00657770">
        <w:rPr>
          <w:rFonts w:cs="Times New Roman"/>
          <w:lang w:val="en-US"/>
        </w:rPr>
        <w:lastRenderedPageBreak/>
        <w:t>1. GENERAL PROVISIONS</w:t>
      </w:r>
    </w:p>
    <w:p w:rsidR="00657770" w:rsidRPr="00657770" w:rsidRDefault="00657770" w:rsidP="00657770">
      <w:pPr>
        <w:ind w:firstLine="567"/>
        <w:jc w:val="center"/>
        <w:rPr>
          <w:rFonts w:cs="Times New Roman"/>
        </w:rPr>
      </w:pPr>
    </w:p>
    <w:p w:rsidR="00657770" w:rsidRPr="00657770" w:rsidRDefault="00657770" w:rsidP="00657770">
      <w:pPr>
        <w:ind w:firstLine="567"/>
        <w:jc w:val="both"/>
        <w:rPr>
          <w:rFonts w:cs="Times New Roman"/>
          <w:lang w:val="en-US"/>
        </w:rPr>
      </w:pPr>
      <w:r w:rsidRPr="00657770">
        <w:rPr>
          <w:rFonts w:cs="Times New Roman"/>
          <w:lang w:val="en-US"/>
        </w:rPr>
        <w:t>1.1. This Procedure determines the procedure for investing and (or) placing temporarily vacant funds of the Fund, organizing and holding a tender among commercial banks to place the Fund's funds in deposits (deposits), as well as the basic conditions and criteria for identifying the winners of the competition.</w:t>
      </w:r>
    </w:p>
    <w:p w:rsidR="00657770" w:rsidRPr="00657770" w:rsidRDefault="00657770" w:rsidP="00657770">
      <w:pPr>
        <w:ind w:firstLine="567"/>
        <w:jc w:val="both"/>
        <w:rPr>
          <w:rFonts w:cs="Times New Roman"/>
          <w:lang w:val="en-US"/>
        </w:rPr>
      </w:pPr>
      <w:r w:rsidRPr="00657770">
        <w:rPr>
          <w:rFonts w:cs="Times New Roman"/>
          <w:lang w:val="en-US"/>
        </w:rPr>
        <w:t xml:space="preserve">The procedure is formed in accordance with the Civil Code of the Russian Federation, Federal Law No. 209-FZ of July 24, 2007 "On the Development of Small and Medium-Sized Enterprises in the Russian Federation", Order No. 763 of the Ministry of Economic Development of the Russian Federation of November 28, 2016 "On Approving Fund </w:t>
      </w:r>
      <w:proofErr w:type="gramStart"/>
      <w:r w:rsidRPr="00657770">
        <w:rPr>
          <w:rFonts w:cs="Times New Roman"/>
          <w:lang w:val="en-US"/>
        </w:rPr>
        <w:t>Requirements  Lending</w:t>
      </w:r>
      <w:proofErr w:type="gramEnd"/>
      <w:r w:rsidRPr="00657770">
        <w:rPr>
          <w:rFonts w:cs="Times New Roman"/>
          <w:lang w:val="en-US"/>
        </w:rPr>
        <w:t xml:space="preserve"> assistance (guarantee funds, guarantee funds) and their activities".</w:t>
      </w:r>
    </w:p>
    <w:p w:rsidR="00657770" w:rsidRPr="00657770" w:rsidRDefault="00657770" w:rsidP="00657770">
      <w:pPr>
        <w:ind w:firstLine="567"/>
        <w:jc w:val="both"/>
        <w:rPr>
          <w:rFonts w:cs="Times New Roman"/>
          <w:lang w:val="en-US"/>
        </w:rPr>
      </w:pPr>
      <w:r w:rsidRPr="00657770">
        <w:rPr>
          <w:rFonts w:cs="Times New Roman"/>
          <w:lang w:val="en-US"/>
        </w:rPr>
        <w:t>1.2. The following terms are used in this Procedure: Contribution (deposit) - placement of temporarily idle funds of the Fund in a bank in order to obtain i</w:t>
      </w:r>
      <w:r>
        <w:rPr>
          <w:rFonts w:cs="Times New Roman"/>
          <w:lang w:val="en-US"/>
        </w:rPr>
        <w:t xml:space="preserve">ncome in the form of interest; </w:t>
      </w:r>
    </w:p>
    <w:p w:rsidR="00657770" w:rsidRPr="00657770" w:rsidRDefault="00657770" w:rsidP="00657770">
      <w:pPr>
        <w:ind w:firstLine="567"/>
        <w:jc w:val="both"/>
        <w:rPr>
          <w:rFonts w:cs="Times New Roman"/>
          <w:lang w:val="en-US"/>
        </w:rPr>
      </w:pPr>
      <w:r w:rsidRPr="00657770">
        <w:rPr>
          <w:rFonts w:cs="Times New Roman"/>
          <w:lang w:val="en-US"/>
        </w:rPr>
        <w:t>Information message - information posted on the official website of the Fund on the selection of financial institutions for the placement of temporarily available funds;</w:t>
      </w:r>
    </w:p>
    <w:p w:rsidR="00657770" w:rsidRPr="00657770" w:rsidRDefault="00657770" w:rsidP="00657770">
      <w:pPr>
        <w:ind w:firstLine="567"/>
        <w:jc w:val="both"/>
        <w:rPr>
          <w:rFonts w:cs="Times New Roman"/>
          <w:lang w:val="en-US"/>
        </w:rPr>
      </w:pPr>
      <w:r w:rsidRPr="00657770">
        <w:rPr>
          <w:rFonts w:cs="Times New Roman"/>
          <w:lang w:val="en-US"/>
        </w:rPr>
        <w:t xml:space="preserve">Competition / selection - the form of bidding, the procedure for determining commercial banks that meet the requirements of this order, in which the temporarily available funds of the Fund will be placed in deposits (deposits);  </w:t>
      </w:r>
    </w:p>
    <w:p w:rsidR="00657770" w:rsidRPr="00657770" w:rsidRDefault="00657770" w:rsidP="00657770">
      <w:pPr>
        <w:ind w:firstLine="567"/>
        <w:jc w:val="both"/>
        <w:rPr>
          <w:rFonts w:cs="Times New Roman"/>
          <w:lang w:val="en-US"/>
        </w:rPr>
      </w:pPr>
      <w:r w:rsidRPr="00657770">
        <w:rPr>
          <w:rFonts w:cs="Times New Roman"/>
          <w:lang w:val="en-US"/>
        </w:rPr>
        <w:t>The competitive commission is a collegial advisory body formed for the purpose of objective and full compliance with all competitive procedures in accordance with the requirements established by this procedure;</w:t>
      </w:r>
    </w:p>
    <w:p w:rsidR="00657770" w:rsidRPr="00657770" w:rsidRDefault="00657770" w:rsidP="00657770">
      <w:pPr>
        <w:ind w:firstLine="567"/>
        <w:jc w:val="both"/>
        <w:rPr>
          <w:rFonts w:cs="Times New Roman"/>
          <w:lang w:val="en-US"/>
        </w:rPr>
      </w:pPr>
      <w:r w:rsidRPr="00657770">
        <w:rPr>
          <w:rFonts w:cs="Times New Roman"/>
          <w:lang w:val="en-US"/>
        </w:rPr>
        <w:t xml:space="preserve">The placement limit is the maximum possible amount of the Fund's funds placed in deposits of a particular bank;  </w:t>
      </w:r>
    </w:p>
    <w:p w:rsidR="00657770" w:rsidRPr="00657770" w:rsidRDefault="00657770" w:rsidP="00657770">
      <w:pPr>
        <w:ind w:firstLine="567"/>
        <w:jc w:val="both"/>
        <w:rPr>
          <w:rFonts w:cs="Times New Roman"/>
          <w:lang w:val="en-US"/>
        </w:rPr>
      </w:pPr>
      <w:r w:rsidRPr="00657770">
        <w:rPr>
          <w:rFonts w:cs="Times New Roman"/>
          <w:lang w:val="en-US"/>
        </w:rPr>
        <w:t xml:space="preserve">The organizer of the contest is the Fund;  </w:t>
      </w:r>
    </w:p>
    <w:p w:rsidR="00657770" w:rsidRPr="00657770" w:rsidRDefault="00657770" w:rsidP="00657770">
      <w:pPr>
        <w:ind w:firstLine="567"/>
        <w:jc w:val="both"/>
        <w:rPr>
          <w:rFonts w:cs="Times New Roman"/>
          <w:lang w:val="en-US"/>
        </w:rPr>
      </w:pPr>
      <w:r w:rsidRPr="00657770">
        <w:rPr>
          <w:rFonts w:cs="Times New Roman"/>
          <w:lang w:val="en-US"/>
        </w:rPr>
        <w:t xml:space="preserve">The official website of the Fund is the official website of the Fund www.fond87.ru in the information and telecommunication network "Internet";  </w:t>
      </w:r>
    </w:p>
    <w:p w:rsidR="00657770" w:rsidRPr="00657770" w:rsidRDefault="00657770" w:rsidP="00657770">
      <w:pPr>
        <w:ind w:firstLine="567"/>
        <w:jc w:val="both"/>
        <w:rPr>
          <w:rFonts w:cs="Times New Roman"/>
          <w:lang w:val="en-US"/>
        </w:rPr>
      </w:pPr>
      <w:r w:rsidRPr="00657770">
        <w:rPr>
          <w:rFonts w:cs="Times New Roman"/>
          <w:lang w:val="en-US"/>
        </w:rPr>
        <w:t>Applicant is a credit organization that has submitted an application in accordance with this procedure about intention to participate in the tender;</w:t>
      </w:r>
    </w:p>
    <w:p w:rsidR="00657770" w:rsidRPr="00657770" w:rsidRDefault="00657770" w:rsidP="00657770">
      <w:pPr>
        <w:ind w:firstLine="567"/>
        <w:jc w:val="both"/>
        <w:rPr>
          <w:rFonts w:cs="Times New Roman"/>
          <w:lang w:val="en-US"/>
        </w:rPr>
      </w:pPr>
      <w:r w:rsidRPr="00657770">
        <w:rPr>
          <w:rFonts w:cs="Times New Roman"/>
          <w:lang w:val="en-US"/>
        </w:rPr>
        <w:t xml:space="preserve">The Board of the Fund is the supreme collegiate governing body of the Fund;  </w:t>
      </w:r>
    </w:p>
    <w:p w:rsidR="00657770" w:rsidRPr="00657770" w:rsidRDefault="00657770" w:rsidP="00657770">
      <w:pPr>
        <w:ind w:firstLine="567"/>
        <w:jc w:val="both"/>
        <w:rPr>
          <w:rFonts w:cs="Times New Roman"/>
          <w:lang w:val="en-US"/>
        </w:rPr>
      </w:pPr>
      <w:r w:rsidRPr="00657770">
        <w:rPr>
          <w:rFonts w:cs="Times New Roman"/>
          <w:lang w:val="en-US"/>
        </w:rPr>
        <w:t xml:space="preserve">The participant of the competition is a bank admitted to participation in the tender;  </w:t>
      </w:r>
    </w:p>
    <w:p w:rsidR="00657770" w:rsidRPr="00657770" w:rsidRDefault="00657770" w:rsidP="00657770">
      <w:pPr>
        <w:ind w:firstLine="567"/>
        <w:jc w:val="both"/>
        <w:rPr>
          <w:rFonts w:cs="Times New Roman"/>
          <w:lang w:val="en-US"/>
        </w:rPr>
      </w:pPr>
      <w:r w:rsidRPr="00657770">
        <w:rPr>
          <w:rFonts w:cs="Times New Roman"/>
          <w:lang w:val="en-US"/>
        </w:rPr>
        <w:t xml:space="preserve">Fund - Non-profit organization "Fund for the Development of Economics and Direct Investments of the Chukotka Autonomous Region".  </w:t>
      </w:r>
    </w:p>
    <w:p w:rsidR="00657770" w:rsidRPr="00657770" w:rsidRDefault="00657770" w:rsidP="00657770">
      <w:pPr>
        <w:ind w:firstLine="567"/>
        <w:jc w:val="both"/>
        <w:rPr>
          <w:rFonts w:cs="Times New Roman"/>
          <w:lang w:val="en-US"/>
        </w:rPr>
      </w:pPr>
      <w:r w:rsidRPr="00657770">
        <w:rPr>
          <w:rFonts w:cs="Times New Roman"/>
          <w:lang w:val="en-US"/>
        </w:rPr>
        <w:t>Other concepts and terms used in this Procedure are applied in the values defined by federal legislation and regulatory legal acts of the Chukotka Autonomous Region.</w:t>
      </w:r>
    </w:p>
    <w:p w:rsidR="00DA7963" w:rsidRDefault="00657770" w:rsidP="00657770">
      <w:pPr>
        <w:ind w:firstLine="567"/>
        <w:jc w:val="both"/>
        <w:rPr>
          <w:rFonts w:cs="Times New Roman"/>
        </w:rPr>
      </w:pPr>
      <w:r w:rsidRPr="00657770">
        <w:rPr>
          <w:rFonts w:cs="Times New Roman"/>
          <w:lang w:val="en-US"/>
        </w:rPr>
        <w:t>1.3. This procedure applies to the activities of the Fund as a regional guarantee organization.</w:t>
      </w:r>
    </w:p>
    <w:p w:rsidR="00657770" w:rsidRPr="00657770" w:rsidRDefault="00657770" w:rsidP="00657770">
      <w:pPr>
        <w:ind w:firstLine="567"/>
        <w:jc w:val="both"/>
        <w:rPr>
          <w:rFonts w:cs="Times New Roman"/>
        </w:rPr>
      </w:pPr>
    </w:p>
    <w:p w:rsidR="006B78DA" w:rsidRDefault="00657770" w:rsidP="00657770">
      <w:pPr>
        <w:ind w:firstLine="567"/>
        <w:jc w:val="center"/>
        <w:rPr>
          <w:rFonts w:cs="Times New Roman"/>
        </w:rPr>
      </w:pPr>
      <w:r w:rsidRPr="00657770">
        <w:rPr>
          <w:rFonts w:cs="Times New Roman"/>
          <w:lang w:val="en-US"/>
        </w:rPr>
        <w:t>2. PROCEDURE AND CRITERIA FOR SELECTING BANKS</w:t>
      </w:r>
    </w:p>
    <w:p w:rsidR="00657770" w:rsidRPr="00657770" w:rsidRDefault="00657770" w:rsidP="00657770">
      <w:pPr>
        <w:ind w:firstLine="567"/>
        <w:jc w:val="center"/>
        <w:rPr>
          <w:rFonts w:cs="Times New Roman"/>
        </w:rPr>
      </w:pPr>
    </w:p>
    <w:p w:rsidR="00657770" w:rsidRPr="00657770" w:rsidRDefault="00657770" w:rsidP="00657770">
      <w:pPr>
        <w:ind w:firstLine="567"/>
        <w:jc w:val="both"/>
        <w:rPr>
          <w:rFonts w:cs="Times New Roman"/>
          <w:lang w:val="en-US"/>
        </w:rPr>
      </w:pPr>
      <w:r w:rsidRPr="00657770">
        <w:rPr>
          <w:rFonts w:cs="Times New Roman"/>
          <w:lang w:val="en-US"/>
        </w:rPr>
        <w:t xml:space="preserve">2.1. The Fund places the funds of the guarantee fund on the principles of recoverability, liquidity and profitability.  </w:t>
      </w:r>
    </w:p>
    <w:p w:rsidR="00657770" w:rsidRPr="00657770" w:rsidRDefault="00657770" w:rsidP="00657770">
      <w:pPr>
        <w:ind w:firstLine="567"/>
        <w:jc w:val="both"/>
        <w:rPr>
          <w:rFonts w:cs="Times New Roman"/>
          <w:lang w:val="en-US"/>
        </w:rPr>
      </w:pPr>
      <w:r w:rsidRPr="00657770">
        <w:rPr>
          <w:rFonts w:cs="Times New Roman"/>
          <w:lang w:val="en-US"/>
        </w:rPr>
        <w:t xml:space="preserve">2.2. The main criterion for selecting credit institutions for placement of the Fund's temporarily free funds on deposits is the proposed interest rate.  </w:t>
      </w:r>
    </w:p>
    <w:p w:rsidR="00657770" w:rsidRPr="00657770" w:rsidRDefault="00657770" w:rsidP="00657770">
      <w:pPr>
        <w:ind w:firstLine="567"/>
        <w:jc w:val="both"/>
        <w:rPr>
          <w:rFonts w:cs="Times New Roman"/>
          <w:lang w:val="en-US"/>
        </w:rPr>
      </w:pPr>
      <w:r w:rsidRPr="00657770">
        <w:rPr>
          <w:rFonts w:cs="Times New Roman"/>
          <w:lang w:val="en-US"/>
        </w:rPr>
        <w:t>Additional selection criteria are reflected in the information message posted according to paragraph 2.5 of this order. The correspondence of the standard contract of the bank deposit (deposit) provided by the applicant to the additional criteria increases the attractiveness of the proposed terms by the lot by one position.</w:t>
      </w:r>
    </w:p>
    <w:p w:rsidR="00657770" w:rsidRPr="00657770" w:rsidRDefault="00657770" w:rsidP="00657770">
      <w:pPr>
        <w:ind w:firstLine="567"/>
        <w:jc w:val="both"/>
        <w:rPr>
          <w:rFonts w:cs="Times New Roman"/>
          <w:lang w:val="en-US"/>
        </w:rPr>
      </w:pPr>
      <w:r w:rsidRPr="00657770">
        <w:rPr>
          <w:rFonts w:cs="Times New Roman"/>
          <w:lang w:val="en-US"/>
        </w:rPr>
        <w:t xml:space="preserve">2.3. In the selection can participate banks with structural units and operating in the territory of the Chukotka Autonomous Region, and also meet the requirements specified in Section 3 of this Procedure.  </w:t>
      </w:r>
    </w:p>
    <w:p w:rsidR="00657770" w:rsidRPr="00657770" w:rsidRDefault="00657770" w:rsidP="00657770">
      <w:pPr>
        <w:ind w:firstLine="567"/>
        <w:jc w:val="both"/>
        <w:rPr>
          <w:rFonts w:cs="Times New Roman"/>
          <w:lang w:val="en-US"/>
        </w:rPr>
      </w:pPr>
      <w:r w:rsidRPr="00657770">
        <w:rPr>
          <w:rFonts w:cs="Times New Roman"/>
          <w:lang w:val="en-US"/>
        </w:rPr>
        <w:t xml:space="preserve">2.4. Based on the results of the selection process, the winner (winners) is determined who is entitled to enter into a bank deposit agreement.  </w:t>
      </w:r>
    </w:p>
    <w:p w:rsidR="00657770" w:rsidRPr="00657770" w:rsidRDefault="00657770" w:rsidP="00657770">
      <w:pPr>
        <w:ind w:firstLine="567"/>
        <w:jc w:val="both"/>
        <w:rPr>
          <w:rFonts w:cs="Times New Roman"/>
          <w:lang w:val="en-US"/>
        </w:rPr>
      </w:pPr>
      <w:r w:rsidRPr="00657770">
        <w:rPr>
          <w:rFonts w:cs="Times New Roman"/>
          <w:lang w:val="en-US"/>
        </w:rPr>
        <w:t xml:space="preserve">2.5. In order to conduct the selection of banks, the Fund places on the official website www.fond87.ru </w:t>
      </w:r>
      <w:proofErr w:type="gramStart"/>
      <w:r w:rsidRPr="00657770">
        <w:rPr>
          <w:rFonts w:cs="Times New Roman"/>
          <w:lang w:val="en-US"/>
        </w:rPr>
        <w:t>an</w:t>
      </w:r>
      <w:proofErr w:type="gramEnd"/>
      <w:r w:rsidRPr="00657770">
        <w:rPr>
          <w:rFonts w:cs="Times New Roman"/>
          <w:lang w:val="en-US"/>
        </w:rPr>
        <w:t xml:space="preserve"> information message (Appendix 1 to the Procedure) on the beginning of the selection of banks for the conclusion of a bank deposit agreement.</w:t>
      </w:r>
    </w:p>
    <w:p w:rsidR="00657770" w:rsidRPr="00657770" w:rsidRDefault="00657770" w:rsidP="00657770">
      <w:pPr>
        <w:ind w:firstLine="567"/>
        <w:jc w:val="both"/>
        <w:rPr>
          <w:rFonts w:cs="Times New Roman"/>
          <w:lang w:val="en-US"/>
        </w:rPr>
      </w:pPr>
      <w:r w:rsidRPr="00657770">
        <w:rPr>
          <w:rFonts w:cs="Times New Roman"/>
          <w:lang w:val="en-US"/>
        </w:rPr>
        <w:t>2.6</w:t>
      </w:r>
      <w:proofErr w:type="gramStart"/>
      <w:r w:rsidRPr="00657770">
        <w:rPr>
          <w:rFonts w:cs="Times New Roman"/>
          <w:lang w:val="en-US"/>
        </w:rPr>
        <w:t>.  The</w:t>
      </w:r>
      <w:proofErr w:type="gramEnd"/>
      <w:r w:rsidRPr="00657770">
        <w:rPr>
          <w:rFonts w:cs="Times New Roman"/>
          <w:lang w:val="en-US"/>
        </w:rPr>
        <w:t xml:space="preserve"> information message on the selection is published on the official website of the Fund not later than 30 (Thirty) days before the deadline for the receipt of documents.  </w:t>
      </w:r>
    </w:p>
    <w:p w:rsidR="00657770" w:rsidRPr="00657770" w:rsidRDefault="00657770" w:rsidP="00657770">
      <w:pPr>
        <w:ind w:firstLine="567"/>
        <w:jc w:val="both"/>
        <w:rPr>
          <w:rFonts w:cs="Times New Roman"/>
          <w:lang w:val="en-US"/>
        </w:rPr>
      </w:pPr>
      <w:r w:rsidRPr="00657770">
        <w:rPr>
          <w:rFonts w:cs="Times New Roman"/>
          <w:lang w:val="en-US"/>
        </w:rPr>
        <w:lastRenderedPageBreak/>
        <w:t xml:space="preserve">The information message on the tender must contain information about: </w:t>
      </w:r>
    </w:p>
    <w:p w:rsidR="00657770" w:rsidRPr="00657770" w:rsidRDefault="00657770" w:rsidP="00657770">
      <w:pPr>
        <w:ind w:firstLine="567"/>
        <w:jc w:val="both"/>
        <w:rPr>
          <w:rFonts w:cs="Times New Roman"/>
          <w:lang w:val="en-US"/>
        </w:rPr>
      </w:pPr>
      <w:r w:rsidRPr="00657770">
        <w:rPr>
          <w:rFonts w:cs="Times New Roman"/>
          <w:lang w:val="en-US"/>
        </w:rPr>
        <w:t xml:space="preserve">a) </w:t>
      </w:r>
      <w:proofErr w:type="gramStart"/>
      <w:r w:rsidRPr="00657770">
        <w:rPr>
          <w:rFonts w:cs="Times New Roman"/>
          <w:lang w:val="en-US"/>
        </w:rPr>
        <w:t>the</w:t>
      </w:r>
      <w:proofErr w:type="gramEnd"/>
      <w:r w:rsidRPr="00657770">
        <w:rPr>
          <w:rFonts w:cs="Times New Roman"/>
          <w:lang w:val="en-US"/>
        </w:rPr>
        <w:t xml:space="preserve"> subject matter of the competition;  </w:t>
      </w:r>
    </w:p>
    <w:p w:rsidR="00657770" w:rsidRPr="00657770" w:rsidRDefault="00657770" w:rsidP="00657770">
      <w:pPr>
        <w:ind w:firstLine="567"/>
        <w:jc w:val="both"/>
        <w:rPr>
          <w:rFonts w:cs="Times New Roman"/>
          <w:lang w:val="en-US"/>
        </w:rPr>
      </w:pPr>
      <w:r w:rsidRPr="00657770">
        <w:rPr>
          <w:rFonts w:cs="Times New Roman"/>
          <w:lang w:val="en-US"/>
        </w:rPr>
        <w:t xml:space="preserve">b) </w:t>
      </w:r>
      <w:proofErr w:type="gramStart"/>
      <w:r w:rsidRPr="00657770">
        <w:rPr>
          <w:rFonts w:cs="Times New Roman"/>
          <w:lang w:val="en-US"/>
        </w:rPr>
        <w:t>the</w:t>
      </w:r>
      <w:proofErr w:type="gramEnd"/>
      <w:r w:rsidRPr="00657770">
        <w:rPr>
          <w:rFonts w:cs="Times New Roman"/>
          <w:lang w:val="en-US"/>
        </w:rPr>
        <w:t xml:space="preserve"> amount and term of the deposit for each lot, the basic requirements for the terms of the deposit;  </w:t>
      </w:r>
    </w:p>
    <w:p w:rsidR="00657770" w:rsidRPr="00657770" w:rsidRDefault="00657770" w:rsidP="00657770">
      <w:pPr>
        <w:ind w:firstLine="567"/>
        <w:jc w:val="both"/>
        <w:rPr>
          <w:rFonts w:cs="Times New Roman"/>
          <w:lang w:val="en-US"/>
        </w:rPr>
      </w:pPr>
      <w:r w:rsidRPr="00657770">
        <w:rPr>
          <w:rFonts w:cs="Times New Roman"/>
          <w:lang w:val="en-US"/>
        </w:rPr>
        <w:t xml:space="preserve">c) </w:t>
      </w:r>
      <w:proofErr w:type="gramStart"/>
      <w:r w:rsidRPr="00657770">
        <w:rPr>
          <w:rFonts w:cs="Times New Roman"/>
          <w:lang w:val="en-US"/>
        </w:rPr>
        <w:t>requirements</w:t>
      </w:r>
      <w:proofErr w:type="gramEnd"/>
      <w:r w:rsidRPr="00657770">
        <w:rPr>
          <w:rFonts w:cs="Times New Roman"/>
          <w:lang w:val="en-US"/>
        </w:rPr>
        <w:t xml:space="preserve"> to the participants of the competition (reference to this Procedure);  </w:t>
      </w:r>
    </w:p>
    <w:p w:rsidR="00657770" w:rsidRPr="00657770" w:rsidRDefault="00657770" w:rsidP="00657770">
      <w:pPr>
        <w:ind w:firstLine="567"/>
        <w:jc w:val="both"/>
        <w:rPr>
          <w:rFonts w:cs="Times New Roman"/>
          <w:lang w:val="en-US"/>
        </w:rPr>
      </w:pPr>
      <w:r w:rsidRPr="00657770">
        <w:rPr>
          <w:rFonts w:cs="Times New Roman"/>
          <w:lang w:val="en-US"/>
        </w:rPr>
        <w:t xml:space="preserve">d) </w:t>
      </w:r>
      <w:proofErr w:type="gramStart"/>
      <w:r w:rsidRPr="00657770">
        <w:rPr>
          <w:rFonts w:cs="Times New Roman"/>
          <w:lang w:val="en-US"/>
        </w:rPr>
        <w:t>the</w:t>
      </w:r>
      <w:proofErr w:type="gramEnd"/>
      <w:r w:rsidRPr="00657770">
        <w:rPr>
          <w:rFonts w:cs="Times New Roman"/>
          <w:lang w:val="en-US"/>
        </w:rPr>
        <w:t xml:space="preserve"> deadline for submitting applications and th</w:t>
      </w:r>
      <w:r>
        <w:rPr>
          <w:rFonts w:cs="Times New Roman"/>
          <w:lang w:val="en-US"/>
        </w:rPr>
        <w:t>e deadline for the competition;</w:t>
      </w:r>
    </w:p>
    <w:p w:rsidR="00657770" w:rsidRPr="00657770" w:rsidRDefault="00657770" w:rsidP="00657770">
      <w:pPr>
        <w:ind w:firstLine="567"/>
        <w:jc w:val="both"/>
        <w:rPr>
          <w:rFonts w:cs="Times New Roman"/>
          <w:lang w:val="en-US"/>
        </w:rPr>
      </w:pPr>
      <w:r w:rsidRPr="00657770">
        <w:rPr>
          <w:rFonts w:cs="Times New Roman"/>
          <w:lang w:val="en-US"/>
        </w:rPr>
        <w:t xml:space="preserve">e) </w:t>
      </w:r>
      <w:proofErr w:type="gramStart"/>
      <w:r w:rsidRPr="00657770">
        <w:rPr>
          <w:rFonts w:cs="Times New Roman"/>
          <w:lang w:val="en-US"/>
        </w:rPr>
        <w:t>the</w:t>
      </w:r>
      <w:proofErr w:type="gramEnd"/>
      <w:r w:rsidRPr="00657770">
        <w:rPr>
          <w:rFonts w:cs="Times New Roman"/>
          <w:lang w:val="en-US"/>
        </w:rPr>
        <w:t xml:space="preserve"> address of the place where applications for participation in the competition are submitted and additional information on the contest (indicating the floor, room, telephone number, time of reception).</w:t>
      </w:r>
    </w:p>
    <w:p w:rsidR="00657770" w:rsidRPr="00657770" w:rsidRDefault="00657770" w:rsidP="00657770">
      <w:pPr>
        <w:ind w:firstLine="567"/>
        <w:jc w:val="both"/>
        <w:rPr>
          <w:rFonts w:cs="Times New Roman"/>
          <w:lang w:val="en-US"/>
        </w:rPr>
      </w:pPr>
      <w:r w:rsidRPr="00657770">
        <w:rPr>
          <w:rFonts w:cs="Times New Roman"/>
          <w:lang w:val="en-US"/>
        </w:rPr>
        <w:t xml:space="preserve">2.7. The decision of the Fund to post an information message on the start of the selection of banks is made by the Director of the Fund by issuing an appropriate order.  </w:t>
      </w:r>
    </w:p>
    <w:p w:rsidR="00657770" w:rsidRPr="00657770" w:rsidRDefault="00657770" w:rsidP="00657770">
      <w:pPr>
        <w:ind w:firstLine="567"/>
        <w:jc w:val="both"/>
        <w:rPr>
          <w:rFonts w:cs="Times New Roman"/>
          <w:lang w:val="en-US"/>
        </w:rPr>
      </w:pPr>
      <w:r w:rsidRPr="00657770">
        <w:rPr>
          <w:rFonts w:cs="Times New Roman"/>
          <w:lang w:val="en-US"/>
        </w:rPr>
        <w:t>2.8. From the date of posting on the official website of the Fund a message on the start of the selection and this Procedure, any bank is entitled to send to the Fund a request for clarification of the procedure for selection and provisions of this Procedure.  The Fund shall, within 3 (Three) business days from the date of receipt of the above request, send explanations to the bank in writing of the provisions of this Procedure.</w:t>
      </w:r>
    </w:p>
    <w:p w:rsidR="00657770" w:rsidRPr="00657770" w:rsidRDefault="00657770" w:rsidP="00657770">
      <w:pPr>
        <w:ind w:firstLine="567"/>
        <w:jc w:val="both"/>
        <w:rPr>
          <w:rFonts w:cs="Times New Roman"/>
          <w:lang w:val="en-US"/>
        </w:rPr>
      </w:pPr>
      <w:r w:rsidRPr="00657770">
        <w:rPr>
          <w:rFonts w:cs="Times New Roman"/>
          <w:lang w:val="en-US"/>
        </w:rPr>
        <w:t xml:space="preserve">2.9.  In case of amending this Procedure, approval of it in a new edition, the Fund shall post on the official website the amended version of this Procedure within 3 (Three) working days from the date of its amendment.  </w:t>
      </w:r>
    </w:p>
    <w:p w:rsidR="00657770" w:rsidRPr="00657770" w:rsidRDefault="00657770" w:rsidP="00657770">
      <w:pPr>
        <w:ind w:firstLine="567"/>
        <w:jc w:val="both"/>
        <w:rPr>
          <w:rFonts w:cs="Times New Roman"/>
          <w:lang w:val="en-US"/>
        </w:rPr>
      </w:pPr>
      <w:r w:rsidRPr="00657770">
        <w:rPr>
          <w:rFonts w:cs="Times New Roman"/>
          <w:lang w:val="en-US"/>
        </w:rPr>
        <w:t xml:space="preserve">2.10. Banks are obliged to independently monitor the appearance on the official website of the Fund of information on the change of this Order.  </w:t>
      </w:r>
    </w:p>
    <w:p w:rsidR="00657770" w:rsidRPr="00657770" w:rsidRDefault="00657770" w:rsidP="00657770">
      <w:pPr>
        <w:ind w:firstLine="567"/>
        <w:jc w:val="both"/>
        <w:rPr>
          <w:rFonts w:cs="Times New Roman"/>
          <w:lang w:val="en-US"/>
        </w:rPr>
      </w:pPr>
      <w:r w:rsidRPr="00657770">
        <w:rPr>
          <w:rFonts w:cs="Times New Roman"/>
          <w:lang w:val="en-US"/>
        </w:rPr>
        <w:t>2.11. From the day following the day of posting on the official website of the Fund an information message on the start of the selection process, banks that meet the conditions of clause 2.3 of this procedure and the criteria for selection of banks established by section 3 of this Procedure are entitled to participate in the selection for the conclusion of a bank deposit contract.</w:t>
      </w:r>
    </w:p>
    <w:p w:rsidR="00657770" w:rsidRPr="00657770" w:rsidRDefault="00657770" w:rsidP="00657770">
      <w:pPr>
        <w:ind w:firstLine="567"/>
        <w:jc w:val="both"/>
        <w:rPr>
          <w:rFonts w:cs="Times New Roman"/>
          <w:lang w:val="en-US"/>
        </w:rPr>
      </w:pPr>
      <w:r w:rsidRPr="00657770">
        <w:rPr>
          <w:rFonts w:cs="Times New Roman"/>
          <w:lang w:val="en-US"/>
        </w:rPr>
        <w:t xml:space="preserve">2.12. During the competition, no contestant can create pre-conditions for participation in the competition, including access to confidential information of the contest organizer.  </w:t>
      </w:r>
    </w:p>
    <w:p w:rsidR="00657770" w:rsidRPr="00657770" w:rsidRDefault="00657770" w:rsidP="00657770">
      <w:pPr>
        <w:ind w:firstLine="567"/>
        <w:jc w:val="both"/>
        <w:rPr>
          <w:rFonts w:cs="Times New Roman"/>
          <w:lang w:val="en-US"/>
        </w:rPr>
      </w:pPr>
      <w:r w:rsidRPr="00657770">
        <w:rPr>
          <w:rFonts w:cs="Times New Roman"/>
          <w:lang w:val="en-US"/>
        </w:rPr>
        <w:t xml:space="preserve">2.13. Participation of the bank in the competition means the fact of the bank's full consent with the terms of the tender established by this Procedure.  </w:t>
      </w:r>
    </w:p>
    <w:p w:rsidR="00657770" w:rsidRPr="00657770" w:rsidRDefault="00657770" w:rsidP="00657770">
      <w:pPr>
        <w:ind w:firstLine="567"/>
        <w:jc w:val="both"/>
        <w:rPr>
          <w:rFonts w:cs="Times New Roman"/>
          <w:lang w:val="en-US"/>
        </w:rPr>
      </w:pPr>
      <w:r w:rsidRPr="00657770">
        <w:rPr>
          <w:rFonts w:cs="Times New Roman"/>
          <w:lang w:val="en-US"/>
        </w:rPr>
        <w:t>2.14. Each participant of the competition independently provides all expenses for preparation and submission of applications for participation in the competition.  The organizer of the contest does not reimburse the participants of the contest the costs associated with participation in the competition.</w:t>
      </w:r>
    </w:p>
    <w:p w:rsidR="00657770" w:rsidRPr="00657770" w:rsidRDefault="00657770" w:rsidP="00657770">
      <w:pPr>
        <w:ind w:firstLine="567"/>
        <w:jc w:val="both"/>
        <w:rPr>
          <w:rFonts w:cs="Times New Roman"/>
          <w:lang w:val="en-US"/>
        </w:rPr>
      </w:pPr>
      <w:r w:rsidRPr="00657770">
        <w:rPr>
          <w:rFonts w:cs="Times New Roman"/>
          <w:lang w:val="en-US"/>
        </w:rPr>
        <w:t xml:space="preserve">2.15. To participate in the selection, the bank sends to the Fund an Application drawn up in accordance with the form of Appendix 2 (hereinafter referred to as the Application) to this Procedure, accompanied by the documents specified in Appendix 3 to the Procedure (hereinafter referred to as documents).  </w:t>
      </w:r>
    </w:p>
    <w:p w:rsidR="00657770" w:rsidRPr="00657770" w:rsidRDefault="00657770" w:rsidP="00657770">
      <w:pPr>
        <w:ind w:firstLine="567"/>
        <w:jc w:val="both"/>
        <w:rPr>
          <w:rFonts w:cs="Times New Roman"/>
          <w:lang w:val="en-US"/>
        </w:rPr>
      </w:pPr>
      <w:r w:rsidRPr="00657770">
        <w:rPr>
          <w:rFonts w:cs="Times New Roman"/>
          <w:lang w:val="en-US"/>
        </w:rPr>
        <w:t xml:space="preserve">2.16. Acceptance of applications for participation in the selection of banks begins on the day following the day of posting on the official website an information message on the selection.  Documents received after the deadline for receiving documents specified in the information message are not accepted.  </w:t>
      </w:r>
    </w:p>
    <w:p w:rsidR="00657770" w:rsidRPr="00657770" w:rsidRDefault="00657770" w:rsidP="00657770">
      <w:pPr>
        <w:ind w:firstLine="567"/>
        <w:jc w:val="both"/>
        <w:rPr>
          <w:rFonts w:cs="Times New Roman"/>
          <w:lang w:val="en-US"/>
        </w:rPr>
      </w:pPr>
      <w:r w:rsidRPr="00657770">
        <w:rPr>
          <w:rFonts w:cs="Times New Roman"/>
          <w:lang w:val="en-US"/>
        </w:rPr>
        <w:t>2.17. The application and documents are submitted by personal appeal to the Fund, or through the organization of postal communication. Submission of Applications in the form of electronic documents is not allowed.  The bank, when sending the application by mail, carries the risk that its application will be delivered late.</w:t>
      </w:r>
    </w:p>
    <w:p w:rsidR="00657770" w:rsidRPr="00657770" w:rsidRDefault="00657770" w:rsidP="00657770">
      <w:pPr>
        <w:ind w:firstLine="567"/>
        <w:jc w:val="both"/>
        <w:rPr>
          <w:rFonts w:cs="Times New Roman"/>
          <w:lang w:val="en-US"/>
        </w:rPr>
      </w:pPr>
      <w:r w:rsidRPr="00657770">
        <w:rPr>
          <w:rFonts w:cs="Times New Roman"/>
          <w:lang w:val="en-US"/>
        </w:rPr>
        <w:t xml:space="preserve">2.18. In the event that documents are submitted to the Fund by the applicant's trustee, the representative must submit a duly executed power of attorney to act on behalf of the bank.  </w:t>
      </w:r>
    </w:p>
    <w:p w:rsidR="00657770" w:rsidRPr="00657770" w:rsidRDefault="00657770" w:rsidP="00657770">
      <w:pPr>
        <w:ind w:firstLine="567"/>
        <w:jc w:val="both"/>
        <w:rPr>
          <w:rFonts w:cs="Times New Roman"/>
          <w:lang w:val="en-US"/>
        </w:rPr>
      </w:pPr>
      <w:r w:rsidRPr="00657770">
        <w:rPr>
          <w:rFonts w:cs="Times New Roman"/>
          <w:lang w:val="en-US"/>
        </w:rPr>
        <w:t xml:space="preserve">2.19. Each application is registered by the Fund. Registration includes the posting of the number and the date of receipt of the documentation in the register of incoming correspondence of the Fund.  </w:t>
      </w:r>
    </w:p>
    <w:p w:rsidR="00657770" w:rsidRPr="00657770" w:rsidRDefault="00657770" w:rsidP="00657770">
      <w:pPr>
        <w:ind w:firstLine="567"/>
        <w:jc w:val="both"/>
        <w:rPr>
          <w:rFonts w:cs="Times New Roman"/>
          <w:lang w:val="en-US"/>
        </w:rPr>
      </w:pPr>
      <w:r w:rsidRPr="00657770">
        <w:rPr>
          <w:rFonts w:cs="Times New Roman"/>
          <w:lang w:val="en-US"/>
        </w:rPr>
        <w:t xml:space="preserve">2.20. An application submitted without the necessary documents, or filed by a person not authorized by the applicant for such actions, is not accepted. A note on refusal to accept an application shall be made by the person who receives the documents on the inventory of the documents submitted by the applicant with indication of its reason.  </w:t>
      </w:r>
    </w:p>
    <w:p w:rsidR="00657770" w:rsidRPr="00657770" w:rsidRDefault="00657770" w:rsidP="00657770">
      <w:pPr>
        <w:ind w:firstLine="567"/>
        <w:jc w:val="both"/>
        <w:rPr>
          <w:rFonts w:cs="Times New Roman"/>
          <w:lang w:val="en-US"/>
        </w:rPr>
      </w:pPr>
      <w:r w:rsidRPr="00657770">
        <w:rPr>
          <w:rFonts w:cs="Times New Roman"/>
          <w:lang w:val="en-US"/>
        </w:rPr>
        <w:t>2.21. The applicant shall submit one application, indicating the proposed terms for each lot</w:t>
      </w:r>
      <w:r>
        <w:rPr>
          <w:rFonts w:cs="Times New Roman"/>
          <w:lang w:val="en-US"/>
        </w:rPr>
        <w:t xml:space="preserve"> that is claimed in the tender.</w:t>
      </w:r>
    </w:p>
    <w:p w:rsidR="00657770" w:rsidRPr="00657770" w:rsidRDefault="00657770" w:rsidP="00657770">
      <w:pPr>
        <w:ind w:firstLine="567"/>
        <w:jc w:val="both"/>
        <w:rPr>
          <w:rFonts w:cs="Times New Roman"/>
          <w:lang w:val="en-US"/>
        </w:rPr>
      </w:pPr>
      <w:r w:rsidRPr="00657770">
        <w:rPr>
          <w:rFonts w:cs="Times New Roman"/>
          <w:lang w:val="en-US"/>
        </w:rPr>
        <w:t xml:space="preserve">2.22. The Fund takes measures to ensure the safety of submitted by banks applications with the documents attached to them, as well as confidentiality of information on legal entities that submitted </w:t>
      </w:r>
      <w:r w:rsidRPr="00657770">
        <w:rPr>
          <w:rFonts w:cs="Times New Roman"/>
          <w:lang w:val="en-US"/>
        </w:rPr>
        <w:lastRenderedPageBreak/>
        <w:t>applications and the content of documents submitted by them until they are announced at the meeting of the Bid Evaluation Committee.</w:t>
      </w:r>
    </w:p>
    <w:p w:rsidR="00657770" w:rsidRPr="00657770" w:rsidRDefault="00657770" w:rsidP="00657770">
      <w:pPr>
        <w:ind w:firstLine="567"/>
        <w:jc w:val="both"/>
        <w:rPr>
          <w:rFonts w:cs="Times New Roman"/>
          <w:lang w:val="en-US"/>
        </w:rPr>
      </w:pPr>
      <w:r w:rsidRPr="00657770">
        <w:rPr>
          <w:rFonts w:cs="Times New Roman"/>
          <w:lang w:val="en-US"/>
        </w:rPr>
        <w:t xml:space="preserve">2.23. The original documents must be signed by an authorized person of the bank and sealed with an imprint of the seal, and copies of documents must be certified by the signature of the authorized person with a </w:t>
      </w:r>
      <w:proofErr w:type="spellStart"/>
      <w:r w:rsidRPr="00657770">
        <w:rPr>
          <w:rFonts w:cs="Times New Roman"/>
          <w:lang w:val="en-US"/>
        </w:rPr>
        <w:t>verbale</w:t>
      </w:r>
      <w:proofErr w:type="spellEnd"/>
      <w:r w:rsidRPr="00657770">
        <w:rPr>
          <w:rFonts w:cs="Times New Roman"/>
          <w:lang w:val="en-US"/>
        </w:rPr>
        <w:t xml:space="preserve"> containing the words "True", "Copy is true", etc., the position of the person who verified the copy of the document</w:t>
      </w:r>
      <w:proofErr w:type="gramStart"/>
      <w:r w:rsidRPr="00657770">
        <w:rPr>
          <w:rFonts w:cs="Times New Roman"/>
          <w:lang w:val="en-US"/>
        </w:rPr>
        <w:t>,  Decryption</w:t>
      </w:r>
      <w:proofErr w:type="gramEnd"/>
      <w:r w:rsidRPr="00657770">
        <w:rPr>
          <w:rFonts w:cs="Times New Roman"/>
          <w:lang w:val="en-US"/>
        </w:rPr>
        <w:t xml:space="preserve"> of the signature and date of certification.  All documents in the application must be numbered, stitched, sealed and certified by the signature of the authorized person of the applicant. When preparing an application and documents that are part of the application, it is not allowed to use facsimile signatures.</w:t>
      </w:r>
    </w:p>
    <w:p w:rsidR="00657770" w:rsidRPr="00657770" w:rsidRDefault="00657770" w:rsidP="00657770">
      <w:pPr>
        <w:ind w:firstLine="567"/>
        <w:jc w:val="both"/>
        <w:rPr>
          <w:rFonts w:cs="Times New Roman"/>
          <w:lang w:val="en-US"/>
        </w:rPr>
      </w:pPr>
      <w:r w:rsidRPr="00657770">
        <w:rPr>
          <w:rFonts w:cs="Times New Roman"/>
          <w:lang w:val="en-US"/>
        </w:rPr>
        <w:t xml:space="preserve">2.24. All documents in the Application should be clearly printed.  Cleansings and corrections are not allowed, except for corrections, sealed and certified by the signature of the authorized person.  2.25. All documents submitted by the applicant are listed in the inventory, compiled separately, and provided in two copies.  One copy is returned to the applicant with a note on receipt of documents by the Fund.  </w:t>
      </w:r>
    </w:p>
    <w:p w:rsidR="00657770" w:rsidRPr="00657770" w:rsidRDefault="00657770" w:rsidP="00657770">
      <w:pPr>
        <w:ind w:firstLine="567"/>
        <w:jc w:val="both"/>
        <w:rPr>
          <w:rFonts w:cs="Times New Roman"/>
          <w:lang w:val="en-US"/>
        </w:rPr>
      </w:pPr>
      <w:r w:rsidRPr="00657770">
        <w:rPr>
          <w:rFonts w:cs="Times New Roman"/>
          <w:lang w:val="en-US"/>
        </w:rPr>
        <w:t>2.27. The documents submitted to the bank for selection are not returned to the bank.</w:t>
      </w:r>
    </w:p>
    <w:p w:rsidR="00657770" w:rsidRPr="00657770" w:rsidRDefault="00657770" w:rsidP="00657770">
      <w:pPr>
        <w:ind w:firstLine="567"/>
        <w:jc w:val="both"/>
        <w:rPr>
          <w:rFonts w:cs="Times New Roman"/>
          <w:lang w:val="en-US"/>
        </w:rPr>
      </w:pPr>
      <w:r w:rsidRPr="00657770">
        <w:rPr>
          <w:rFonts w:cs="Times New Roman"/>
          <w:lang w:val="en-US"/>
        </w:rPr>
        <w:t xml:space="preserve">2.27. The Fund ensures reception, registration and verification of the correctness of registration of applications for participation in the selection and other documents submitted by applicants.  </w:t>
      </w:r>
    </w:p>
    <w:p w:rsidR="00657770" w:rsidRPr="00657770" w:rsidRDefault="00657770" w:rsidP="00657770">
      <w:pPr>
        <w:ind w:firstLine="567"/>
        <w:jc w:val="both"/>
        <w:rPr>
          <w:rFonts w:cs="Times New Roman"/>
          <w:lang w:val="en-US"/>
        </w:rPr>
      </w:pPr>
      <w:r w:rsidRPr="00657770">
        <w:rPr>
          <w:rFonts w:cs="Times New Roman"/>
          <w:lang w:val="en-US"/>
        </w:rPr>
        <w:t>2.28. In the information given in the information message at the meeting of the Bid Evaluation Committee, the selection results are summarized and the winner (winners) is determined for each lot, which (s) receive the right to conclude a bank deposit agreement with the Fund.</w:t>
      </w:r>
    </w:p>
    <w:p w:rsidR="00657770" w:rsidRPr="00657770" w:rsidRDefault="00657770" w:rsidP="00657770">
      <w:pPr>
        <w:ind w:firstLine="567"/>
        <w:jc w:val="both"/>
        <w:rPr>
          <w:rFonts w:cs="Times New Roman"/>
          <w:lang w:val="en-US"/>
        </w:rPr>
      </w:pPr>
      <w:r w:rsidRPr="00657770">
        <w:rPr>
          <w:rFonts w:cs="Times New Roman"/>
          <w:lang w:val="en-US"/>
        </w:rPr>
        <w:t xml:space="preserve">2.29. The bank that won the tender is required to sign a bank deposit (deposit) agreement with the Fund for each winning lot within 20 (twenty) working days after the competition.  </w:t>
      </w:r>
    </w:p>
    <w:p w:rsidR="00657770" w:rsidRPr="00657770" w:rsidRDefault="00657770" w:rsidP="00657770">
      <w:pPr>
        <w:ind w:firstLine="567"/>
        <w:jc w:val="both"/>
        <w:rPr>
          <w:rFonts w:cs="Times New Roman"/>
          <w:lang w:val="en-US"/>
        </w:rPr>
      </w:pPr>
      <w:r w:rsidRPr="00657770">
        <w:rPr>
          <w:rFonts w:cs="Times New Roman"/>
          <w:lang w:val="en-US"/>
        </w:rPr>
        <w:t xml:space="preserve">2.30. The competition commission is formed in the number of five persons in the following composition: </w:t>
      </w:r>
    </w:p>
    <w:p w:rsidR="00657770" w:rsidRPr="00657770" w:rsidRDefault="00657770" w:rsidP="00657770">
      <w:pPr>
        <w:ind w:firstLine="567"/>
        <w:jc w:val="both"/>
        <w:rPr>
          <w:rFonts w:cs="Times New Roman"/>
          <w:lang w:val="en-US"/>
        </w:rPr>
      </w:pPr>
      <w:r w:rsidRPr="00657770">
        <w:rPr>
          <w:rFonts w:cs="Times New Roman"/>
          <w:lang w:val="en-US"/>
        </w:rPr>
        <w:t xml:space="preserve">1) </w:t>
      </w:r>
      <w:proofErr w:type="gramStart"/>
      <w:r w:rsidRPr="00657770">
        <w:rPr>
          <w:rFonts w:cs="Times New Roman"/>
          <w:lang w:val="en-US"/>
        </w:rPr>
        <w:t>the</w:t>
      </w:r>
      <w:proofErr w:type="gramEnd"/>
      <w:r w:rsidRPr="00657770">
        <w:rPr>
          <w:rFonts w:cs="Times New Roman"/>
          <w:lang w:val="en-US"/>
        </w:rPr>
        <w:t xml:space="preserve"> chairman of the competitive commission - a representative of the Fund Board or founders of the Fund;  </w:t>
      </w:r>
    </w:p>
    <w:p w:rsidR="00657770" w:rsidRPr="00657770" w:rsidRDefault="00657770" w:rsidP="00657770">
      <w:pPr>
        <w:ind w:firstLine="567"/>
        <w:jc w:val="both"/>
        <w:rPr>
          <w:rFonts w:cs="Times New Roman"/>
          <w:lang w:val="en-US"/>
        </w:rPr>
      </w:pPr>
      <w:r w:rsidRPr="00657770">
        <w:rPr>
          <w:rFonts w:cs="Times New Roman"/>
          <w:lang w:val="en-US"/>
        </w:rPr>
        <w:t xml:space="preserve">2) </w:t>
      </w:r>
      <w:proofErr w:type="gramStart"/>
      <w:r w:rsidRPr="00657770">
        <w:rPr>
          <w:rFonts w:cs="Times New Roman"/>
          <w:lang w:val="en-US"/>
        </w:rPr>
        <w:t>the</w:t>
      </w:r>
      <w:proofErr w:type="gramEnd"/>
      <w:r w:rsidRPr="00657770">
        <w:rPr>
          <w:rFonts w:cs="Times New Roman"/>
          <w:lang w:val="en-US"/>
        </w:rPr>
        <w:t xml:space="preserve"> members of the competition commission in the number of four persons - representatives of the Fund Council and the founders of the Fund;  </w:t>
      </w:r>
    </w:p>
    <w:p w:rsidR="00657770" w:rsidRPr="00657770" w:rsidRDefault="00657770" w:rsidP="00657770">
      <w:pPr>
        <w:ind w:firstLine="567"/>
        <w:jc w:val="both"/>
        <w:rPr>
          <w:rFonts w:cs="Times New Roman"/>
          <w:lang w:val="en-US"/>
        </w:rPr>
      </w:pPr>
      <w:r w:rsidRPr="00657770">
        <w:rPr>
          <w:rFonts w:cs="Times New Roman"/>
          <w:lang w:val="en-US"/>
        </w:rPr>
        <w:t xml:space="preserve">3) </w:t>
      </w:r>
      <w:proofErr w:type="gramStart"/>
      <w:r w:rsidRPr="00657770">
        <w:rPr>
          <w:rFonts w:cs="Times New Roman"/>
          <w:lang w:val="en-US"/>
        </w:rPr>
        <w:t>secretary</w:t>
      </w:r>
      <w:proofErr w:type="gramEnd"/>
      <w:r w:rsidRPr="00657770">
        <w:rPr>
          <w:rFonts w:cs="Times New Roman"/>
          <w:lang w:val="en-US"/>
        </w:rPr>
        <w:t xml:space="preserve"> of the competitive commission - director of the Fund (with the right of deliberative vote).  </w:t>
      </w:r>
    </w:p>
    <w:p w:rsidR="00657770" w:rsidRPr="00657770" w:rsidRDefault="00657770" w:rsidP="00657770">
      <w:pPr>
        <w:ind w:firstLine="567"/>
        <w:jc w:val="both"/>
        <w:rPr>
          <w:rFonts w:cs="Times New Roman"/>
          <w:lang w:val="en-US"/>
        </w:rPr>
      </w:pPr>
      <w:r w:rsidRPr="00657770">
        <w:rPr>
          <w:rFonts w:cs="Times New Roman"/>
          <w:lang w:val="en-US"/>
        </w:rPr>
        <w:t xml:space="preserve">2.31. The membership of the competition commission is approved by the Council of the Fund.  </w:t>
      </w:r>
    </w:p>
    <w:p w:rsidR="00657770" w:rsidRPr="00657770" w:rsidRDefault="00657770" w:rsidP="00657770">
      <w:pPr>
        <w:ind w:firstLine="567"/>
        <w:jc w:val="both"/>
        <w:rPr>
          <w:rFonts w:cs="Times New Roman"/>
          <w:lang w:val="en-US"/>
        </w:rPr>
      </w:pPr>
      <w:r w:rsidRPr="00657770">
        <w:rPr>
          <w:rFonts w:cs="Times New Roman"/>
          <w:lang w:val="en-US"/>
        </w:rPr>
        <w:t xml:space="preserve">2.32. The competitive commission: </w:t>
      </w:r>
    </w:p>
    <w:p w:rsidR="00657770" w:rsidRPr="00657770" w:rsidRDefault="00657770" w:rsidP="00657770">
      <w:pPr>
        <w:ind w:firstLine="567"/>
        <w:jc w:val="both"/>
        <w:rPr>
          <w:rFonts w:cs="Times New Roman"/>
          <w:lang w:val="en-US"/>
        </w:rPr>
      </w:pPr>
      <w:r w:rsidRPr="00657770">
        <w:rPr>
          <w:rFonts w:cs="Times New Roman"/>
          <w:lang w:val="en-US"/>
        </w:rPr>
        <w:t xml:space="preserve">1) </w:t>
      </w:r>
      <w:proofErr w:type="gramStart"/>
      <w:r w:rsidRPr="00657770">
        <w:rPr>
          <w:rFonts w:cs="Times New Roman"/>
          <w:lang w:val="en-US"/>
        </w:rPr>
        <w:t>makes</w:t>
      </w:r>
      <w:proofErr w:type="gramEnd"/>
      <w:r w:rsidRPr="00657770">
        <w:rPr>
          <w:rFonts w:cs="Times New Roman"/>
          <w:lang w:val="en-US"/>
        </w:rPr>
        <w:t xml:space="preserve"> the decision on admission (or refusal in admission) of applicants for participation in competition;  </w:t>
      </w:r>
    </w:p>
    <w:p w:rsidR="00657770" w:rsidRPr="00657770" w:rsidRDefault="00657770" w:rsidP="00657770">
      <w:pPr>
        <w:ind w:firstLine="567"/>
        <w:jc w:val="both"/>
        <w:rPr>
          <w:rFonts w:cs="Times New Roman"/>
          <w:lang w:val="en-US"/>
        </w:rPr>
      </w:pPr>
      <w:r w:rsidRPr="00657770">
        <w:rPr>
          <w:rFonts w:cs="Times New Roman"/>
          <w:lang w:val="en-US"/>
        </w:rPr>
        <w:t xml:space="preserve">2) </w:t>
      </w:r>
      <w:proofErr w:type="gramStart"/>
      <w:r w:rsidRPr="00657770">
        <w:rPr>
          <w:rFonts w:cs="Times New Roman"/>
          <w:lang w:val="en-US"/>
        </w:rPr>
        <w:t>examines</w:t>
      </w:r>
      <w:proofErr w:type="gramEnd"/>
      <w:r w:rsidRPr="00657770">
        <w:rPr>
          <w:rFonts w:cs="Times New Roman"/>
          <w:lang w:val="en-US"/>
        </w:rPr>
        <w:t xml:space="preserve">, evaluates and compares applications for participation in the selection, draws up and signs appropriate protocols;  </w:t>
      </w:r>
    </w:p>
    <w:p w:rsidR="00657770" w:rsidRPr="00657770" w:rsidRDefault="00657770" w:rsidP="00657770">
      <w:pPr>
        <w:ind w:firstLine="567"/>
        <w:jc w:val="both"/>
        <w:rPr>
          <w:rFonts w:cs="Times New Roman"/>
          <w:lang w:val="en-US"/>
        </w:rPr>
      </w:pPr>
      <w:r w:rsidRPr="00657770">
        <w:rPr>
          <w:rFonts w:cs="Times New Roman"/>
          <w:lang w:val="en-US"/>
        </w:rPr>
        <w:t xml:space="preserve">3) </w:t>
      </w:r>
      <w:proofErr w:type="gramStart"/>
      <w:r w:rsidRPr="00657770">
        <w:rPr>
          <w:rFonts w:cs="Times New Roman"/>
          <w:lang w:val="en-US"/>
        </w:rPr>
        <w:t>determine</w:t>
      </w:r>
      <w:proofErr w:type="gramEnd"/>
      <w:r w:rsidRPr="00657770">
        <w:rPr>
          <w:rFonts w:cs="Times New Roman"/>
          <w:lang w:val="en-US"/>
        </w:rPr>
        <w:t xml:space="preserve"> the winners of the competition for each lot, take decisions on the results of the competition.</w:t>
      </w:r>
    </w:p>
    <w:p w:rsidR="00657770" w:rsidRPr="00657770" w:rsidRDefault="00657770" w:rsidP="00657770">
      <w:pPr>
        <w:ind w:firstLine="567"/>
        <w:jc w:val="both"/>
        <w:rPr>
          <w:rFonts w:cs="Times New Roman"/>
          <w:lang w:val="en-US"/>
        </w:rPr>
      </w:pPr>
      <w:r w:rsidRPr="00657770">
        <w:rPr>
          <w:rFonts w:cs="Times New Roman"/>
          <w:lang w:val="en-US"/>
        </w:rPr>
        <w:t xml:space="preserve">2.33. The meetings of the competitive commission are eligible if at least two thirds of the </w:t>
      </w:r>
      <w:proofErr w:type="gramStart"/>
      <w:r w:rsidRPr="00657770">
        <w:rPr>
          <w:rFonts w:cs="Times New Roman"/>
          <w:lang w:val="en-US"/>
        </w:rPr>
        <w:t>list of the competitive commission take</w:t>
      </w:r>
      <w:proofErr w:type="gramEnd"/>
      <w:r w:rsidRPr="00657770">
        <w:rPr>
          <w:rFonts w:cs="Times New Roman"/>
          <w:lang w:val="en-US"/>
        </w:rPr>
        <w:t xml:space="preserve"> part in them.  Replacement of the members of the competitive commission that are approved personally is not allowed.  </w:t>
      </w:r>
    </w:p>
    <w:p w:rsidR="00657770" w:rsidRPr="00657770" w:rsidRDefault="00657770" w:rsidP="00657770">
      <w:pPr>
        <w:ind w:firstLine="567"/>
        <w:jc w:val="both"/>
        <w:rPr>
          <w:rFonts w:cs="Times New Roman"/>
          <w:lang w:val="en-US"/>
        </w:rPr>
      </w:pPr>
      <w:r w:rsidRPr="00657770">
        <w:rPr>
          <w:rFonts w:cs="Times New Roman"/>
          <w:lang w:val="en-US"/>
        </w:rPr>
        <w:t xml:space="preserve">2.34. The decisions of the competitive commission are taken by a simple majority of votes of the members of the competitive commission present at the meeting.  In the event of a tie, the vote of the chairman of the competitive commission is decisive.  </w:t>
      </w:r>
    </w:p>
    <w:p w:rsidR="00657770" w:rsidRPr="00657770" w:rsidRDefault="00657770" w:rsidP="00657770">
      <w:pPr>
        <w:ind w:firstLine="567"/>
        <w:jc w:val="both"/>
        <w:rPr>
          <w:rFonts w:cs="Times New Roman"/>
          <w:lang w:val="en-US"/>
        </w:rPr>
      </w:pPr>
      <w:r w:rsidRPr="00657770">
        <w:rPr>
          <w:rFonts w:cs="Times New Roman"/>
          <w:lang w:val="en-US"/>
        </w:rPr>
        <w:t xml:space="preserve">2.35. The decision of the competitive commission is made out by the protocol signed by all members of the competitive commission, present at session of the competitive commission.  </w:t>
      </w:r>
    </w:p>
    <w:p w:rsidR="00657770" w:rsidRPr="00657770" w:rsidRDefault="00657770" w:rsidP="00657770">
      <w:pPr>
        <w:ind w:firstLine="567"/>
        <w:jc w:val="both"/>
        <w:rPr>
          <w:rFonts w:cs="Times New Roman"/>
        </w:rPr>
      </w:pPr>
      <w:r>
        <w:rPr>
          <w:rFonts w:cs="Times New Roman"/>
          <w:lang w:val="en-US"/>
        </w:rPr>
        <w:t>The protocol specifies:</w:t>
      </w:r>
    </w:p>
    <w:p w:rsidR="00657770" w:rsidRPr="00657770" w:rsidRDefault="00657770" w:rsidP="00657770">
      <w:pPr>
        <w:ind w:firstLine="567"/>
        <w:jc w:val="both"/>
        <w:rPr>
          <w:rFonts w:cs="Times New Roman"/>
          <w:lang w:val="en-US"/>
        </w:rPr>
      </w:pPr>
      <w:r w:rsidRPr="00657770">
        <w:rPr>
          <w:rFonts w:cs="Times New Roman"/>
          <w:lang w:val="en-US"/>
        </w:rPr>
        <w:t xml:space="preserve">- </w:t>
      </w:r>
      <w:proofErr w:type="gramStart"/>
      <w:r w:rsidRPr="00657770">
        <w:rPr>
          <w:rFonts w:cs="Times New Roman"/>
          <w:lang w:val="en-US"/>
        </w:rPr>
        <w:t>names</w:t>
      </w:r>
      <w:proofErr w:type="gramEnd"/>
      <w:r w:rsidRPr="00657770">
        <w:rPr>
          <w:rFonts w:cs="Times New Roman"/>
          <w:lang w:val="en-US"/>
        </w:rPr>
        <w:t xml:space="preserve"> of banks that submitted documents for participation in the selection;  </w:t>
      </w:r>
    </w:p>
    <w:p w:rsidR="00657770" w:rsidRPr="00657770" w:rsidRDefault="00657770" w:rsidP="00657770">
      <w:pPr>
        <w:ind w:firstLine="567"/>
        <w:jc w:val="both"/>
        <w:rPr>
          <w:rFonts w:cs="Times New Roman"/>
          <w:lang w:val="en-US"/>
        </w:rPr>
      </w:pPr>
      <w:r w:rsidRPr="00657770">
        <w:rPr>
          <w:rFonts w:cs="Times New Roman"/>
          <w:lang w:val="en-US"/>
        </w:rPr>
        <w:t xml:space="preserve">- </w:t>
      </w:r>
      <w:proofErr w:type="gramStart"/>
      <w:r w:rsidRPr="00657770">
        <w:rPr>
          <w:rFonts w:cs="Times New Roman"/>
          <w:lang w:val="en-US"/>
        </w:rPr>
        <w:t>names</w:t>
      </w:r>
      <w:proofErr w:type="gramEnd"/>
      <w:r w:rsidRPr="00657770">
        <w:rPr>
          <w:rFonts w:cs="Times New Roman"/>
          <w:lang w:val="en-US"/>
        </w:rPr>
        <w:t xml:space="preserve"> of banks admitted to participation in the selection;  - the names of the banks that have won the selection.  </w:t>
      </w:r>
    </w:p>
    <w:p w:rsidR="00657770" w:rsidRPr="00657770" w:rsidRDefault="00657770" w:rsidP="00657770">
      <w:pPr>
        <w:ind w:firstLine="567"/>
        <w:jc w:val="both"/>
        <w:rPr>
          <w:rFonts w:cs="Times New Roman"/>
          <w:lang w:val="en-US"/>
        </w:rPr>
      </w:pPr>
      <w:r w:rsidRPr="00657770">
        <w:rPr>
          <w:rFonts w:cs="Times New Roman"/>
          <w:lang w:val="en-US"/>
        </w:rPr>
        <w:t>A copy of the protocol is posted on the official website of the Fund.</w:t>
      </w:r>
    </w:p>
    <w:p w:rsidR="00657770" w:rsidRPr="00657770" w:rsidRDefault="00657770" w:rsidP="00657770">
      <w:pPr>
        <w:ind w:firstLine="567"/>
        <w:jc w:val="both"/>
        <w:rPr>
          <w:rFonts w:cs="Times New Roman"/>
          <w:lang w:val="en-US"/>
        </w:rPr>
      </w:pPr>
      <w:r w:rsidRPr="00657770">
        <w:rPr>
          <w:rFonts w:cs="Times New Roman"/>
          <w:lang w:val="en-US"/>
        </w:rPr>
        <w:t>2.36</w:t>
      </w:r>
      <w:proofErr w:type="gramStart"/>
      <w:r w:rsidRPr="00657770">
        <w:rPr>
          <w:rFonts w:cs="Times New Roman"/>
          <w:lang w:val="en-US"/>
        </w:rPr>
        <w:t>.  Participants</w:t>
      </w:r>
      <w:proofErr w:type="gramEnd"/>
      <w:r w:rsidRPr="00657770">
        <w:rPr>
          <w:rFonts w:cs="Times New Roman"/>
          <w:lang w:val="en-US"/>
        </w:rPr>
        <w:t xml:space="preserve"> of the competitive selection and their representatives </w:t>
      </w:r>
      <w:proofErr w:type="spellStart"/>
      <w:r w:rsidRPr="00657770">
        <w:rPr>
          <w:rFonts w:cs="Times New Roman"/>
          <w:lang w:val="en-US"/>
        </w:rPr>
        <w:t>can not</w:t>
      </w:r>
      <w:proofErr w:type="spellEnd"/>
      <w:r w:rsidRPr="00657770">
        <w:rPr>
          <w:rFonts w:cs="Times New Roman"/>
          <w:lang w:val="en-US"/>
        </w:rPr>
        <w:t xml:space="preserve"> attend the meeting of the Bid Evaluation Committee.  </w:t>
      </w:r>
    </w:p>
    <w:p w:rsidR="00657770" w:rsidRPr="00657770" w:rsidRDefault="00657770" w:rsidP="00657770">
      <w:pPr>
        <w:ind w:firstLine="567"/>
        <w:jc w:val="both"/>
        <w:rPr>
          <w:rFonts w:cs="Times New Roman"/>
          <w:lang w:val="en-US"/>
        </w:rPr>
      </w:pPr>
      <w:r w:rsidRPr="00657770">
        <w:rPr>
          <w:rFonts w:cs="Times New Roman"/>
          <w:lang w:val="en-US"/>
        </w:rPr>
        <w:t>2.37</w:t>
      </w:r>
      <w:proofErr w:type="gramStart"/>
      <w:r w:rsidRPr="00657770">
        <w:rPr>
          <w:rFonts w:cs="Times New Roman"/>
          <w:lang w:val="en-US"/>
        </w:rPr>
        <w:t>.  The</w:t>
      </w:r>
      <w:proofErr w:type="gramEnd"/>
      <w:r w:rsidRPr="00657770">
        <w:rPr>
          <w:rFonts w:cs="Times New Roman"/>
          <w:lang w:val="en-US"/>
        </w:rPr>
        <w:t xml:space="preserve"> grounds for refusal to enter into a bank deposit (deposit) agreement with the bank are: 2.37.1.  Discrepancy of the bank with the conditions and selection criteria established by clause 2.3 and section 3 of this Procedure;  </w:t>
      </w:r>
    </w:p>
    <w:p w:rsidR="00657770" w:rsidRPr="00657770" w:rsidRDefault="00657770" w:rsidP="00657770">
      <w:pPr>
        <w:ind w:firstLine="567"/>
        <w:jc w:val="both"/>
        <w:rPr>
          <w:rFonts w:cs="Times New Roman"/>
          <w:lang w:val="en-US"/>
        </w:rPr>
      </w:pPr>
      <w:r w:rsidRPr="00657770">
        <w:rPr>
          <w:rFonts w:cs="Times New Roman"/>
          <w:lang w:val="en-US"/>
        </w:rPr>
        <w:lastRenderedPageBreak/>
        <w:t>2.37.2. Non-compliance by the bank with the requirements for the content and execution of documents and / or failure to provide (incomplete submission) documents established by this Procedure.</w:t>
      </w:r>
    </w:p>
    <w:p w:rsidR="00657770" w:rsidRPr="00657770" w:rsidRDefault="00657770" w:rsidP="00657770">
      <w:pPr>
        <w:ind w:firstLine="567"/>
        <w:jc w:val="both"/>
        <w:rPr>
          <w:rFonts w:cs="Times New Roman"/>
          <w:lang w:val="en-US"/>
        </w:rPr>
      </w:pPr>
      <w:r w:rsidRPr="00657770">
        <w:rPr>
          <w:rFonts w:cs="Times New Roman"/>
          <w:lang w:val="en-US"/>
        </w:rPr>
        <w:t xml:space="preserve">2.38.  The winner (s) of the competition are the applicants whose bids satisfy all the requirements of this order, who offered the best conditions for the performance of the bank deposit agreement on the basis of the criteria specified in this order and the information message.  </w:t>
      </w:r>
    </w:p>
    <w:p w:rsidR="00657770" w:rsidRPr="00657770" w:rsidRDefault="00657770" w:rsidP="00657770">
      <w:pPr>
        <w:ind w:firstLine="567"/>
        <w:jc w:val="both"/>
        <w:rPr>
          <w:rFonts w:cs="Times New Roman"/>
          <w:lang w:val="en-US"/>
        </w:rPr>
      </w:pPr>
      <w:r w:rsidRPr="00657770">
        <w:rPr>
          <w:rFonts w:cs="Times New Roman"/>
          <w:lang w:val="en-US"/>
        </w:rPr>
        <w:t xml:space="preserve">2.39. As a result of the selection, the Fund concludes a bank deposit contract (deposit) with the banks that have passed the competitive selection for each winning lot.  </w:t>
      </w:r>
    </w:p>
    <w:p w:rsidR="00657770" w:rsidRPr="00657770" w:rsidRDefault="00657770" w:rsidP="00657770">
      <w:pPr>
        <w:ind w:firstLine="567"/>
        <w:jc w:val="both"/>
        <w:rPr>
          <w:rFonts w:cs="Times New Roman"/>
          <w:lang w:val="en-US"/>
        </w:rPr>
      </w:pPr>
      <w:r w:rsidRPr="00657770">
        <w:rPr>
          <w:rFonts w:cs="Times New Roman"/>
          <w:lang w:val="en-US"/>
        </w:rPr>
        <w:t xml:space="preserve">2.40.  Within 10 (ten) working days after the acceptance by the Fund's competitive commission of a decision on the conclusion or refusal to enter into a bank deposit agreement, the Fund shall notify the bank in writing of the decision taken.  </w:t>
      </w:r>
    </w:p>
    <w:p w:rsidR="00657770" w:rsidRPr="00657770" w:rsidRDefault="00657770" w:rsidP="00657770">
      <w:pPr>
        <w:ind w:firstLine="567"/>
        <w:jc w:val="both"/>
        <w:rPr>
          <w:rFonts w:cs="Times New Roman"/>
          <w:lang w:val="en-US"/>
        </w:rPr>
      </w:pPr>
      <w:r w:rsidRPr="00657770">
        <w:rPr>
          <w:rFonts w:cs="Times New Roman"/>
          <w:lang w:val="en-US"/>
        </w:rPr>
        <w:t>2.41. The placement limit for a specific bank is established by the Fund Council in accordance with the requirements of this procedure and other internal regulatory documents of the Fund.</w:t>
      </w:r>
    </w:p>
    <w:p w:rsidR="00657770" w:rsidRPr="00657770" w:rsidRDefault="00657770" w:rsidP="00657770">
      <w:pPr>
        <w:ind w:firstLine="567"/>
        <w:jc w:val="both"/>
        <w:rPr>
          <w:rFonts w:cs="Times New Roman"/>
          <w:lang w:val="en-US"/>
        </w:rPr>
      </w:pPr>
      <w:r w:rsidRPr="00657770">
        <w:rPr>
          <w:rFonts w:cs="Times New Roman"/>
          <w:lang w:val="en-US"/>
        </w:rPr>
        <w:t xml:space="preserve">2.42. The selection is considered to have failed in the following cases: </w:t>
      </w:r>
    </w:p>
    <w:p w:rsidR="00657770" w:rsidRPr="00657770" w:rsidRDefault="00657770" w:rsidP="00657770">
      <w:pPr>
        <w:ind w:firstLine="567"/>
        <w:jc w:val="both"/>
        <w:rPr>
          <w:rFonts w:cs="Times New Roman"/>
          <w:lang w:val="en-US"/>
        </w:rPr>
      </w:pPr>
      <w:r w:rsidRPr="00657770">
        <w:rPr>
          <w:rFonts w:cs="Times New Roman"/>
          <w:lang w:val="en-US"/>
        </w:rPr>
        <w:t xml:space="preserve">- </w:t>
      </w:r>
      <w:proofErr w:type="gramStart"/>
      <w:r w:rsidRPr="00657770">
        <w:rPr>
          <w:rFonts w:cs="Times New Roman"/>
          <w:lang w:val="en-US"/>
        </w:rPr>
        <w:t>only</w:t>
      </w:r>
      <w:proofErr w:type="gramEnd"/>
      <w:r w:rsidRPr="00657770">
        <w:rPr>
          <w:rFonts w:cs="Times New Roman"/>
          <w:lang w:val="en-US"/>
        </w:rPr>
        <w:t xml:space="preserve"> one participant participated in the competition;  </w:t>
      </w:r>
    </w:p>
    <w:p w:rsidR="00657770" w:rsidRPr="00657770" w:rsidRDefault="00657770" w:rsidP="00657770">
      <w:pPr>
        <w:ind w:firstLine="567"/>
        <w:jc w:val="both"/>
        <w:rPr>
          <w:rFonts w:cs="Times New Roman"/>
          <w:lang w:val="en-US"/>
        </w:rPr>
      </w:pPr>
      <w:r w:rsidRPr="00657770">
        <w:rPr>
          <w:rFonts w:cs="Times New Roman"/>
          <w:lang w:val="en-US"/>
        </w:rPr>
        <w:t xml:space="preserve">- </w:t>
      </w:r>
      <w:proofErr w:type="gramStart"/>
      <w:r w:rsidRPr="00657770">
        <w:rPr>
          <w:rFonts w:cs="Times New Roman"/>
          <w:lang w:val="en-US"/>
        </w:rPr>
        <w:t>none</w:t>
      </w:r>
      <w:proofErr w:type="gramEnd"/>
      <w:r w:rsidRPr="00657770">
        <w:rPr>
          <w:rFonts w:cs="Times New Roman"/>
          <w:lang w:val="en-US"/>
        </w:rPr>
        <w:t xml:space="preserve"> of the banks that submitted documents to participate in the selection, was not allowed to participate in the selection.  </w:t>
      </w:r>
    </w:p>
    <w:p w:rsidR="00657770" w:rsidRPr="00657770" w:rsidRDefault="00657770" w:rsidP="00657770">
      <w:pPr>
        <w:ind w:firstLine="567"/>
        <w:jc w:val="both"/>
        <w:rPr>
          <w:rFonts w:cs="Times New Roman"/>
          <w:lang w:val="en-US"/>
        </w:rPr>
      </w:pPr>
      <w:r w:rsidRPr="00657770">
        <w:rPr>
          <w:rFonts w:cs="Times New Roman"/>
          <w:lang w:val="en-US"/>
        </w:rPr>
        <w:t xml:space="preserve">2.43. In the event that the selection is declared invalid, the Fund shall initiate a re-selection no later than 10 (Ten) calendar days after the recognition of the selection as failed.  </w:t>
      </w:r>
    </w:p>
    <w:p w:rsidR="00657770" w:rsidRPr="00657770" w:rsidRDefault="00657770" w:rsidP="00657770">
      <w:pPr>
        <w:ind w:firstLine="567"/>
        <w:jc w:val="both"/>
        <w:rPr>
          <w:rFonts w:cs="Times New Roman"/>
          <w:lang w:val="en-US"/>
        </w:rPr>
      </w:pPr>
      <w:r w:rsidRPr="00657770">
        <w:rPr>
          <w:rFonts w:cs="Times New Roman"/>
          <w:lang w:val="en-US"/>
        </w:rPr>
        <w:t xml:space="preserve">2.44.  In accordance with the decision of the Bid Evaluation Committee within 10 (Ten) business days from the date of receipt by the bank of the message specified in clause 2.40 of this Procedure, the selected bank shall sign and send to the Fund the Bank Deposit Agreement (deposit).  </w:t>
      </w:r>
    </w:p>
    <w:p w:rsidR="00657770" w:rsidRPr="00657770" w:rsidRDefault="00657770" w:rsidP="00657770">
      <w:pPr>
        <w:ind w:firstLine="567"/>
        <w:jc w:val="both"/>
        <w:rPr>
          <w:rFonts w:cs="Times New Roman"/>
          <w:lang w:val="en-US"/>
        </w:rPr>
      </w:pPr>
      <w:r w:rsidRPr="00657770">
        <w:rPr>
          <w:rFonts w:cs="Times New Roman"/>
          <w:lang w:val="en-US"/>
        </w:rPr>
        <w:t xml:space="preserve">2.45. In the event that the selected bank has not submitted a signed bank deposit contract to the Fund within the time specified in clause 2.44 of this Procedure, the selected bank shall be deemed to have evaded the conclusion of the contract.  </w:t>
      </w:r>
    </w:p>
    <w:p w:rsidR="006B78DA" w:rsidRPr="00657770" w:rsidRDefault="00657770" w:rsidP="00657770">
      <w:pPr>
        <w:ind w:firstLine="567"/>
        <w:jc w:val="both"/>
        <w:rPr>
          <w:rFonts w:cs="Times New Roman"/>
          <w:lang w:val="en-US"/>
        </w:rPr>
      </w:pPr>
      <w:r w:rsidRPr="00657770">
        <w:rPr>
          <w:rFonts w:cs="Times New Roman"/>
          <w:lang w:val="en-US"/>
        </w:rPr>
        <w:t>2.46. In case the winner of the competition is deemed to have evaded the conclusion of a bank deposit contract, the Fund has the right to apply to the court with a claim for compelling the winner of the tender to conclude the said contract, as well as to compensate for losses caused by evasion from its conclusion.</w:t>
      </w:r>
    </w:p>
    <w:p w:rsidR="00F24834" w:rsidRDefault="00657770" w:rsidP="00E40E83">
      <w:pPr>
        <w:ind w:firstLine="567"/>
        <w:jc w:val="center"/>
        <w:rPr>
          <w:rFonts w:cs="Times New Roman"/>
        </w:rPr>
      </w:pPr>
      <w:r w:rsidRPr="00657770">
        <w:rPr>
          <w:rFonts w:cs="Times New Roman"/>
        </w:rPr>
        <w:t>3. REQUIREMENTS FOR BANKS</w:t>
      </w:r>
    </w:p>
    <w:p w:rsidR="00657770" w:rsidRPr="00714B43" w:rsidRDefault="00657770" w:rsidP="00E40E83">
      <w:pPr>
        <w:ind w:firstLine="567"/>
        <w:jc w:val="center"/>
        <w:rPr>
          <w:rFonts w:cs="Times New Roman"/>
        </w:rPr>
      </w:pPr>
    </w:p>
    <w:p w:rsidR="00657770" w:rsidRPr="00657770" w:rsidRDefault="00657770" w:rsidP="00657770">
      <w:pPr>
        <w:ind w:firstLine="567"/>
        <w:jc w:val="both"/>
        <w:rPr>
          <w:rFonts w:cs="Times New Roman"/>
          <w:lang w:val="en-US"/>
        </w:rPr>
      </w:pPr>
      <w:r w:rsidRPr="00657770">
        <w:rPr>
          <w:rFonts w:cs="Times New Roman"/>
          <w:lang w:val="en-US"/>
        </w:rPr>
        <w:t xml:space="preserve">3.1. In order to place temporarily idle funds on deposits and settlement accounts of credit institutions, the Fund selects credit institutions provided that the following requirements are simultaneously met: </w:t>
      </w:r>
    </w:p>
    <w:p w:rsidR="00657770" w:rsidRPr="00657770" w:rsidRDefault="00657770" w:rsidP="00657770">
      <w:pPr>
        <w:ind w:firstLine="567"/>
        <w:jc w:val="both"/>
        <w:rPr>
          <w:rFonts w:cs="Times New Roman"/>
          <w:lang w:val="en-US"/>
        </w:rPr>
      </w:pPr>
      <w:r w:rsidRPr="00657770">
        <w:rPr>
          <w:rFonts w:cs="Times New Roman"/>
          <w:lang w:val="en-US"/>
        </w:rPr>
        <w:t xml:space="preserve">1) </w:t>
      </w:r>
      <w:proofErr w:type="gramStart"/>
      <w:r w:rsidRPr="00657770">
        <w:rPr>
          <w:rFonts w:cs="Times New Roman"/>
          <w:lang w:val="en-US"/>
        </w:rPr>
        <w:t>the</w:t>
      </w:r>
      <w:proofErr w:type="gramEnd"/>
      <w:r w:rsidRPr="00657770">
        <w:rPr>
          <w:rFonts w:cs="Times New Roman"/>
          <w:lang w:val="en-US"/>
        </w:rPr>
        <w:t xml:space="preserve"> credit institution has a general license of the Central Bank of the Russian Federation for banking operations;  </w:t>
      </w:r>
    </w:p>
    <w:p w:rsidR="00657770" w:rsidRPr="00657770" w:rsidRDefault="00657770" w:rsidP="00657770">
      <w:pPr>
        <w:ind w:firstLine="567"/>
        <w:jc w:val="both"/>
        <w:rPr>
          <w:rFonts w:cs="Times New Roman"/>
          <w:lang w:val="en-US"/>
        </w:rPr>
      </w:pPr>
      <w:r w:rsidRPr="00657770">
        <w:rPr>
          <w:rFonts w:cs="Times New Roman"/>
          <w:lang w:val="en-US"/>
        </w:rPr>
        <w:t xml:space="preserve">2) </w:t>
      </w:r>
      <w:proofErr w:type="gramStart"/>
      <w:r w:rsidRPr="00657770">
        <w:rPr>
          <w:rFonts w:cs="Times New Roman"/>
          <w:lang w:val="en-US"/>
        </w:rPr>
        <w:t>the</w:t>
      </w:r>
      <w:proofErr w:type="gramEnd"/>
      <w:r w:rsidRPr="00657770">
        <w:rPr>
          <w:rFonts w:cs="Times New Roman"/>
          <w:lang w:val="en-US"/>
        </w:rPr>
        <w:t xml:space="preserve"> credit organization has its own funds (capital) in the amount of not less than 50 billion rubles according to the Central Bank of th</w:t>
      </w:r>
      <w:r>
        <w:rPr>
          <w:rFonts w:cs="Times New Roman"/>
          <w:lang w:val="en-US"/>
        </w:rPr>
        <w:t xml:space="preserve">e Russian Federation published </w:t>
      </w:r>
      <w:r w:rsidRPr="00657770">
        <w:rPr>
          <w:rFonts w:cs="Times New Roman"/>
          <w:lang w:val="en-US"/>
        </w:rPr>
        <w:t>on the official website www.cbr.ru in the Internet in accordance with Article 57 of the Law on the Bank of Russia;</w:t>
      </w:r>
    </w:p>
    <w:p w:rsidR="00657770" w:rsidRPr="00657770" w:rsidRDefault="00657770" w:rsidP="00657770">
      <w:pPr>
        <w:ind w:firstLine="567"/>
        <w:jc w:val="both"/>
        <w:rPr>
          <w:rFonts w:cs="Times New Roman"/>
          <w:lang w:val="en-US"/>
        </w:rPr>
      </w:pPr>
      <w:r w:rsidRPr="00657770">
        <w:rPr>
          <w:rFonts w:cs="Times New Roman"/>
          <w:lang w:val="en-US"/>
        </w:rPr>
        <w:t xml:space="preserve">3) the presence of a credit institution's international long-term credit rating according to the classification of rating agencies </w:t>
      </w:r>
      <w:proofErr w:type="spellStart"/>
      <w:r w:rsidRPr="00657770">
        <w:rPr>
          <w:rFonts w:cs="Times New Roman"/>
          <w:lang w:val="en-US"/>
        </w:rPr>
        <w:t>FitchRatings</w:t>
      </w:r>
      <w:proofErr w:type="spellEnd"/>
      <w:r w:rsidRPr="00657770">
        <w:rPr>
          <w:rFonts w:cs="Times New Roman"/>
          <w:lang w:val="en-US"/>
        </w:rPr>
        <w:t xml:space="preserve"> or </w:t>
      </w:r>
      <w:proofErr w:type="spellStart"/>
      <w:r w:rsidRPr="00657770">
        <w:rPr>
          <w:rFonts w:cs="Times New Roman"/>
          <w:lang w:val="en-US"/>
        </w:rPr>
        <w:t>Standard&amp;Poor's</w:t>
      </w:r>
      <w:proofErr w:type="spellEnd"/>
      <w:r w:rsidRPr="00657770">
        <w:rPr>
          <w:rFonts w:cs="Times New Roman"/>
          <w:lang w:val="en-US"/>
        </w:rPr>
        <w:t xml:space="preserve"> not lower than "BB-", or Moody </w:t>
      </w:r>
      <w:proofErr w:type="spellStart"/>
      <w:r w:rsidRPr="00657770">
        <w:rPr>
          <w:rFonts w:cs="Times New Roman"/>
          <w:lang w:val="en-US"/>
        </w:rPr>
        <w:t>sInvestorsService</w:t>
      </w:r>
      <w:proofErr w:type="spellEnd"/>
      <w:r w:rsidRPr="00657770">
        <w:rPr>
          <w:rFonts w:cs="Times New Roman"/>
          <w:lang w:val="en-US"/>
        </w:rPr>
        <w:t xml:space="preserve"> is not lower than "Ba3"; </w:t>
      </w:r>
    </w:p>
    <w:p w:rsidR="00657770" w:rsidRPr="00657770" w:rsidRDefault="00657770" w:rsidP="00657770">
      <w:pPr>
        <w:ind w:firstLine="567"/>
        <w:jc w:val="both"/>
        <w:rPr>
          <w:rFonts w:cs="Times New Roman"/>
          <w:lang w:val="en-US"/>
        </w:rPr>
      </w:pPr>
      <w:r w:rsidRPr="00657770">
        <w:rPr>
          <w:rFonts w:cs="Times New Roman"/>
          <w:lang w:val="en-US"/>
        </w:rPr>
        <w:t xml:space="preserve">4) </w:t>
      </w:r>
      <w:proofErr w:type="gramStart"/>
      <w:r w:rsidRPr="00657770">
        <w:rPr>
          <w:rFonts w:cs="Times New Roman"/>
          <w:lang w:val="en-US"/>
        </w:rPr>
        <w:t>the</w:t>
      </w:r>
      <w:proofErr w:type="gramEnd"/>
      <w:r w:rsidRPr="00657770">
        <w:rPr>
          <w:rFonts w:cs="Times New Roman"/>
          <w:lang w:val="en-US"/>
        </w:rPr>
        <w:t xml:space="preserve"> activities of a credit institution from the date of its registration at least 5 (five) years; </w:t>
      </w:r>
    </w:p>
    <w:p w:rsidR="00657770" w:rsidRPr="00657770" w:rsidRDefault="00657770" w:rsidP="00657770">
      <w:pPr>
        <w:ind w:firstLine="567"/>
        <w:jc w:val="both"/>
        <w:rPr>
          <w:rFonts w:cs="Times New Roman"/>
          <w:lang w:val="en-US"/>
        </w:rPr>
      </w:pPr>
      <w:r w:rsidRPr="00657770">
        <w:rPr>
          <w:rFonts w:cs="Times New Roman"/>
          <w:lang w:val="en-US"/>
        </w:rPr>
        <w:t xml:space="preserve">5) </w:t>
      </w:r>
      <w:proofErr w:type="gramStart"/>
      <w:r w:rsidRPr="00657770">
        <w:rPr>
          <w:rFonts w:cs="Times New Roman"/>
          <w:lang w:val="en-US"/>
        </w:rPr>
        <w:t>the</w:t>
      </w:r>
      <w:proofErr w:type="gramEnd"/>
      <w:r w:rsidRPr="00657770">
        <w:rPr>
          <w:rFonts w:cs="Times New Roman"/>
          <w:lang w:val="en-US"/>
        </w:rPr>
        <w:t xml:space="preserve"> absence of current in relation to a credit institution of the measures taken by the Central Bank of the Russian Federation for violation of statutory requirements, installed in accordance with the Law on the Bank of Russia; </w:t>
      </w:r>
    </w:p>
    <w:p w:rsidR="00657770" w:rsidRPr="00657770" w:rsidRDefault="00657770" w:rsidP="00657770">
      <w:pPr>
        <w:ind w:firstLine="567"/>
        <w:jc w:val="both"/>
        <w:rPr>
          <w:rFonts w:cs="Times New Roman"/>
          <w:lang w:val="en-US"/>
        </w:rPr>
      </w:pPr>
      <w:r w:rsidRPr="00657770">
        <w:rPr>
          <w:rFonts w:cs="Times New Roman"/>
          <w:lang w:val="en-US"/>
        </w:rPr>
        <w:t>6) the absence of a credit institution within the last 12 (Twelve) months overdue monetary obligations on transactions with the Bank of Russia, including under credits of Bank of Russia and percent on them, and the absence of a credit institution overdue debt on Bank deposits, previously placed in it at the expense of the Fund;</w:t>
      </w:r>
    </w:p>
    <w:p w:rsidR="00657770" w:rsidRPr="00657770" w:rsidRDefault="00657770" w:rsidP="00657770">
      <w:pPr>
        <w:ind w:firstLine="567"/>
        <w:jc w:val="both"/>
        <w:rPr>
          <w:rFonts w:cs="Times New Roman"/>
          <w:lang w:val="en-US"/>
        </w:rPr>
      </w:pPr>
      <w:r w:rsidRPr="00657770">
        <w:rPr>
          <w:rFonts w:cs="Times New Roman"/>
          <w:lang w:val="en-US"/>
        </w:rPr>
        <w:t xml:space="preserve">7) participation of a credit institution in the system of compulsory insurance of individuals' deposits with the banks of the Russian Federation in accordance with Federal Law No. 177-FZ of December 23, 2003 "On Insurance of Individual Deposits with Russian Banks".  </w:t>
      </w:r>
    </w:p>
    <w:p w:rsidR="001D34A0" w:rsidRDefault="00657770" w:rsidP="00657770">
      <w:pPr>
        <w:ind w:firstLine="567"/>
        <w:jc w:val="both"/>
        <w:rPr>
          <w:rFonts w:cs="Times New Roman"/>
        </w:rPr>
      </w:pPr>
      <w:r w:rsidRPr="00657770">
        <w:rPr>
          <w:rFonts w:cs="Times New Roman"/>
          <w:lang w:val="en-US"/>
        </w:rPr>
        <w:t xml:space="preserve">3.2. The Bank is obliged to notify the Bank in writing in the form of a Ban on the execution of certain banking operations and the opening of branches, as well as in the form of suspension of the license </w:t>
      </w:r>
      <w:r w:rsidRPr="00657770">
        <w:rPr>
          <w:rFonts w:cs="Times New Roman"/>
          <w:lang w:val="en-US"/>
        </w:rPr>
        <w:lastRenderedPageBreak/>
        <w:t xml:space="preserve">for certain banking operations or the appearance of instructions of the Bank of </w:t>
      </w:r>
      <w:proofErr w:type="gramStart"/>
      <w:r w:rsidRPr="00657770">
        <w:rPr>
          <w:rFonts w:cs="Times New Roman"/>
          <w:lang w:val="en-US"/>
        </w:rPr>
        <w:t>Russia  In</w:t>
      </w:r>
      <w:proofErr w:type="gramEnd"/>
      <w:r w:rsidRPr="00657770">
        <w:rPr>
          <w:rFonts w:cs="Times New Roman"/>
          <w:lang w:val="en-US"/>
        </w:rPr>
        <w:t xml:space="preserve"> the period not more than 1 (one) working day from the date of introduction of the relevant sanctions.</w:t>
      </w:r>
    </w:p>
    <w:p w:rsidR="00657770" w:rsidRPr="00657770" w:rsidRDefault="00657770" w:rsidP="00657770">
      <w:pPr>
        <w:ind w:firstLine="567"/>
        <w:jc w:val="both"/>
        <w:rPr>
          <w:rFonts w:cs="Times New Roman"/>
        </w:rPr>
      </w:pPr>
    </w:p>
    <w:p w:rsidR="00E40E83" w:rsidRDefault="00657770" w:rsidP="00657770">
      <w:pPr>
        <w:ind w:firstLine="567"/>
        <w:jc w:val="center"/>
        <w:rPr>
          <w:rFonts w:cs="Times New Roman"/>
        </w:rPr>
      </w:pPr>
      <w:r w:rsidRPr="00657770">
        <w:rPr>
          <w:rFonts w:cs="Times New Roman"/>
          <w:lang w:val="en-US"/>
        </w:rPr>
        <w:t>4. REQUIREMENTS FOR ACCOMMODATION OF FUNDS</w:t>
      </w:r>
    </w:p>
    <w:p w:rsidR="00657770" w:rsidRPr="00657770" w:rsidRDefault="00657770" w:rsidP="00657770">
      <w:pPr>
        <w:ind w:firstLine="567"/>
        <w:jc w:val="center"/>
        <w:rPr>
          <w:rFonts w:cs="Times New Roman"/>
        </w:rPr>
      </w:pPr>
    </w:p>
    <w:p w:rsidR="00657770" w:rsidRPr="00657770" w:rsidRDefault="00657770" w:rsidP="00657770">
      <w:pPr>
        <w:ind w:firstLine="567"/>
        <w:jc w:val="both"/>
        <w:rPr>
          <w:rFonts w:cs="Times New Roman"/>
          <w:lang w:val="en-US"/>
        </w:rPr>
      </w:pPr>
      <w:r w:rsidRPr="00657770">
        <w:rPr>
          <w:rFonts w:cs="Times New Roman"/>
          <w:lang w:val="en-US"/>
        </w:rPr>
        <w:t xml:space="preserve">4.1. The Fund invests and / or places temporarily free funds in: </w:t>
      </w:r>
    </w:p>
    <w:p w:rsidR="00657770" w:rsidRPr="00657770" w:rsidRDefault="00657770" w:rsidP="00657770">
      <w:pPr>
        <w:ind w:firstLine="567"/>
        <w:jc w:val="both"/>
        <w:rPr>
          <w:rFonts w:cs="Times New Roman"/>
          <w:lang w:val="en-US"/>
        </w:rPr>
      </w:pPr>
      <w:r w:rsidRPr="00657770">
        <w:rPr>
          <w:rFonts w:cs="Times New Roman"/>
          <w:lang w:val="en-US"/>
        </w:rPr>
        <w:t xml:space="preserve">1) </w:t>
      </w:r>
      <w:proofErr w:type="gramStart"/>
      <w:r w:rsidRPr="00657770">
        <w:rPr>
          <w:rFonts w:cs="Times New Roman"/>
          <w:lang w:val="en-US"/>
        </w:rPr>
        <w:t>state</w:t>
      </w:r>
      <w:proofErr w:type="gramEnd"/>
      <w:r w:rsidRPr="00657770">
        <w:rPr>
          <w:rFonts w:cs="Times New Roman"/>
          <w:lang w:val="en-US"/>
        </w:rPr>
        <w:t xml:space="preserve"> securities of the Russian Federation;  </w:t>
      </w:r>
    </w:p>
    <w:p w:rsidR="00657770" w:rsidRPr="00657770" w:rsidRDefault="00657770" w:rsidP="00657770">
      <w:pPr>
        <w:ind w:firstLine="567"/>
        <w:jc w:val="both"/>
        <w:rPr>
          <w:rFonts w:cs="Times New Roman"/>
          <w:lang w:val="en-US"/>
        </w:rPr>
      </w:pPr>
      <w:r w:rsidRPr="00657770">
        <w:rPr>
          <w:rFonts w:cs="Times New Roman"/>
          <w:lang w:val="en-US"/>
        </w:rPr>
        <w:t xml:space="preserve">2) </w:t>
      </w:r>
      <w:proofErr w:type="gramStart"/>
      <w:r w:rsidRPr="00657770">
        <w:rPr>
          <w:rFonts w:cs="Times New Roman"/>
          <w:lang w:val="en-US"/>
        </w:rPr>
        <w:t>deposits</w:t>
      </w:r>
      <w:proofErr w:type="gramEnd"/>
      <w:r w:rsidRPr="00657770">
        <w:rPr>
          <w:rFonts w:cs="Times New Roman"/>
          <w:lang w:val="en-US"/>
        </w:rPr>
        <w:t xml:space="preserve"> and (or) settlement accounts with credit institutions nominated in the currency of the Russian Federation in rubles in accounts with credit institutions.  </w:t>
      </w:r>
    </w:p>
    <w:p w:rsidR="00657770" w:rsidRPr="00657770" w:rsidRDefault="00657770" w:rsidP="00657770">
      <w:pPr>
        <w:ind w:firstLine="567"/>
        <w:jc w:val="both"/>
        <w:rPr>
          <w:rFonts w:cs="Times New Roman"/>
          <w:lang w:val="en-US"/>
        </w:rPr>
      </w:pPr>
      <w:r w:rsidRPr="00657770">
        <w:rPr>
          <w:rFonts w:cs="Times New Roman"/>
          <w:lang w:val="en-US"/>
        </w:rPr>
        <w:t xml:space="preserve">4.2. The Fund has the right to invest temporarily free cash assets in government securities of the Russian Federation in the amount of not more than 15% of the total amount of cash.  </w:t>
      </w:r>
    </w:p>
    <w:p w:rsidR="00657770" w:rsidRPr="00657770" w:rsidRDefault="00657770" w:rsidP="00657770">
      <w:pPr>
        <w:ind w:firstLine="567"/>
        <w:jc w:val="both"/>
        <w:rPr>
          <w:rFonts w:cs="Times New Roman"/>
          <w:lang w:val="en-US"/>
        </w:rPr>
      </w:pPr>
      <w:r w:rsidRPr="00657770">
        <w:rPr>
          <w:rFonts w:cs="Times New Roman"/>
          <w:lang w:val="en-US"/>
        </w:rPr>
        <w:t>4.3. In order to manage liquidity and solvency, the Fund allocates funds on deposits of banks for a period of not more than 1 (one) year.</w:t>
      </w:r>
    </w:p>
    <w:p w:rsidR="00657770" w:rsidRPr="00657770" w:rsidRDefault="00657770" w:rsidP="00657770">
      <w:pPr>
        <w:ind w:firstLine="567"/>
        <w:jc w:val="both"/>
        <w:rPr>
          <w:rFonts w:cs="Times New Roman"/>
          <w:lang w:val="en-US"/>
        </w:rPr>
      </w:pPr>
      <w:r w:rsidRPr="00657770">
        <w:rPr>
          <w:rFonts w:cs="Times New Roman"/>
          <w:lang w:val="en-US"/>
        </w:rPr>
        <w:t xml:space="preserve">4.4.  The maximum amount of money placed on settlement accounts and deposits in one bank is set by the Council of the Fund for 1 (first) day of the current financial year and should not exceed: 1) 30% of the total amount of money with a guarantee capital amount of more than 700 million rubles;  </w:t>
      </w:r>
    </w:p>
    <w:p w:rsidR="00657770" w:rsidRPr="00657770" w:rsidRDefault="00657770" w:rsidP="00657770">
      <w:pPr>
        <w:ind w:firstLine="567"/>
        <w:jc w:val="both"/>
        <w:rPr>
          <w:rFonts w:cs="Times New Roman"/>
          <w:lang w:val="en-US"/>
        </w:rPr>
      </w:pPr>
      <w:r w:rsidRPr="00657770">
        <w:rPr>
          <w:rFonts w:cs="Times New Roman"/>
          <w:lang w:val="en-US"/>
        </w:rPr>
        <w:t xml:space="preserve">2) 40% of the total amount of funds with a guarantee capital exceeding 300 million rubles and at least 700 million rubles;  </w:t>
      </w:r>
    </w:p>
    <w:p w:rsidR="00657770" w:rsidRPr="00657770" w:rsidRDefault="00657770" w:rsidP="00657770">
      <w:pPr>
        <w:ind w:firstLine="567"/>
        <w:jc w:val="both"/>
        <w:rPr>
          <w:rFonts w:cs="Times New Roman"/>
          <w:lang w:val="en-US"/>
        </w:rPr>
      </w:pPr>
      <w:r w:rsidRPr="00657770">
        <w:rPr>
          <w:rFonts w:cs="Times New Roman"/>
          <w:lang w:val="en-US"/>
        </w:rPr>
        <w:t xml:space="preserve">3) 60% of the Fund's total amount of money with a guarantee capital of less than 300 million rubles, while the Fund has the right to place on credit institutions' settlement accounts, no more than 10% of the total amount of money, if the Fund does not have the option of withdrawing </w:t>
      </w:r>
      <w:proofErr w:type="gramStart"/>
      <w:r w:rsidRPr="00657770">
        <w:rPr>
          <w:rFonts w:cs="Times New Roman"/>
          <w:lang w:val="en-US"/>
        </w:rPr>
        <w:t>part  Placed</w:t>
      </w:r>
      <w:proofErr w:type="gramEnd"/>
      <w:r w:rsidRPr="00657770">
        <w:rPr>
          <w:rFonts w:cs="Times New Roman"/>
          <w:lang w:val="en-US"/>
        </w:rPr>
        <w:t xml:space="preserve"> funds from deposits, without loss of profitability.</w:t>
      </w:r>
    </w:p>
    <w:p w:rsidR="00657770" w:rsidRPr="00657770" w:rsidRDefault="00657770" w:rsidP="00657770">
      <w:pPr>
        <w:ind w:firstLine="567"/>
        <w:jc w:val="both"/>
        <w:rPr>
          <w:rFonts w:cs="Times New Roman"/>
          <w:lang w:val="en-US"/>
        </w:rPr>
      </w:pPr>
      <w:r w:rsidRPr="00657770">
        <w:rPr>
          <w:rFonts w:cs="Times New Roman"/>
          <w:lang w:val="en-US"/>
        </w:rPr>
        <w:t xml:space="preserve">4.5. Initially, the maximum amount of money placed on settlement accounts and deposits with one credit institution is approved by the </w:t>
      </w:r>
      <w:r>
        <w:rPr>
          <w:rFonts w:cs="Times New Roman"/>
          <w:lang w:val="en-US"/>
        </w:rPr>
        <w:t xml:space="preserve">Fund Board upon the request of </w:t>
      </w:r>
      <w:r w:rsidRPr="00657770">
        <w:rPr>
          <w:rFonts w:cs="Times New Roman"/>
          <w:lang w:val="en-US"/>
        </w:rPr>
        <w:t>the Director of the Fund on the basis of the decision of the first meeting of the Tender Committee, where the winners were determined, within 5 (Five) working days after the date of the said meeting</w:t>
      </w:r>
      <w:proofErr w:type="gramStart"/>
      <w:r w:rsidRPr="00657770">
        <w:rPr>
          <w:rFonts w:cs="Times New Roman"/>
          <w:lang w:val="en-US"/>
        </w:rPr>
        <w:t>,  Taking</w:t>
      </w:r>
      <w:proofErr w:type="gramEnd"/>
      <w:r w:rsidRPr="00657770">
        <w:rPr>
          <w:rFonts w:cs="Times New Roman"/>
          <w:lang w:val="en-US"/>
        </w:rPr>
        <w:t xml:space="preserve"> into account the requirements of the legislation of the Russian Federation and this Procedure.  </w:t>
      </w:r>
    </w:p>
    <w:p w:rsidR="00657770" w:rsidRPr="00657770" w:rsidRDefault="00657770" w:rsidP="00657770">
      <w:pPr>
        <w:ind w:firstLine="567"/>
        <w:jc w:val="both"/>
        <w:rPr>
          <w:rFonts w:cs="Times New Roman"/>
          <w:lang w:val="en-US"/>
        </w:rPr>
      </w:pPr>
      <w:r w:rsidRPr="00657770">
        <w:rPr>
          <w:rFonts w:cs="Times New Roman"/>
          <w:lang w:val="en-US"/>
        </w:rPr>
        <w:t>4.6. Recalculation of the maximum amount of money placed on settlement accounts and deposits in one credit organization is carried out by the Fund Council when the amount of guarantee capital is changed.</w:t>
      </w:r>
    </w:p>
    <w:p w:rsidR="00CB7F25" w:rsidRPr="00657770" w:rsidRDefault="00503191" w:rsidP="00657770">
      <w:pPr>
        <w:ind w:firstLine="567"/>
        <w:jc w:val="both"/>
        <w:rPr>
          <w:rFonts w:cs="Times New Roman"/>
          <w:lang w:val="en-US"/>
        </w:rPr>
      </w:pPr>
      <w:r>
        <w:rPr>
          <w:rFonts w:cs="Times New Roman"/>
          <w:lang w:val="en-US"/>
        </w:rPr>
        <w:t>4.</w:t>
      </w:r>
      <w:r w:rsidRPr="00503191">
        <w:rPr>
          <w:rFonts w:cs="Times New Roman"/>
          <w:lang w:val="en-US"/>
        </w:rPr>
        <w:t>7</w:t>
      </w:r>
      <w:r w:rsidR="00657770" w:rsidRPr="00657770">
        <w:rPr>
          <w:rFonts w:cs="Times New Roman"/>
          <w:lang w:val="en-US"/>
        </w:rPr>
        <w:t>. It is not allowed to prolong the deposit (deposit) without observing the procedure stipulated by these requirements.</w:t>
      </w:r>
    </w:p>
    <w:p w:rsidR="00CB7F25" w:rsidRPr="00657770" w:rsidRDefault="00CB7F25" w:rsidP="00833551">
      <w:pPr>
        <w:ind w:firstLine="567"/>
        <w:jc w:val="both"/>
        <w:rPr>
          <w:rFonts w:cs="Times New Roman"/>
          <w:lang w:val="en-US"/>
        </w:rPr>
      </w:pPr>
    </w:p>
    <w:p w:rsidR="0014177C" w:rsidRPr="00657770" w:rsidRDefault="0014177C" w:rsidP="00833551">
      <w:pPr>
        <w:ind w:firstLine="567"/>
        <w:jc w:val="both"/>
        <w:rPr>
          <w:rFonts w:cs="Times New Roman"/>
          <w:lang w:val="en-US"/>
        </w:rPr>
      </w:pPr>
    </w:p>
    <w:p w:rsidR="0014177C" w:rsidRPr="00657770" w:rsidRDefault="0014177C" w:rsidP="00833551">
      <w:pPr>
        <w:ind w:firstLine="567"/>
        <w:jc w:val="both"/>
        <w:rPr>
          <w:rFonts w:cs="Times New Roman"/>
          <w:lang w:val="en-US"/>
        </w:rPr>
      </w:pPr>
    </w:p>
    <w:p w:rsidR="0014177C" w:rsidRPr="00657770" w:rsidRDefault="0014177C" w:rsidP="00833551">
      <w:pPr>
        <w:ind w:firstLine="567"/>
        <w:jc w:val="both"/>
        <w:rPr>
          <w:rFonts w:cs="Times New Roman"/>
          <w:lang w:val="en-US"/>
        </w:rPr>
      </w:pPr>
    </w:p>
    <w:p w:rsidR="00CB7F25" w:rsidRPr="00657770" w:rsidRDefault="00CB7F25" w:rsidP="00833551">
      <w:pPr>
        <w:ind w:firstLine="567"/>
        <w:jc w:val="both"/>
        <w:rPr>
          <w:rFonts w:cs="Times New Roman"/>
          <w:lang w:val="en-US"/>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Default="00503191" w:rsidP="00C47429">
      <w:pPr>
        <w:ind w:firstLine="567"/>
        <w:jc w:val="right"/>
        <w:rPr>
          <w:rFonts w:cs="Times New Roman"/>
          <w:i/>
          <w:sz w:val="20"/>
          <w:szCs w:val="20"/>
        </w:rPr>
      </w:pPr>
    </w:p>
    <w:p w:rsidR="00503191" w:rsidRPr="00503191" w:rsidRDefault="00503191" w:rsidP="00503191">
      <w:pPr>
        <w:ind w:firstLine="567"/>
        <w:jc w:val="right"/>
        <w:rPr>
          <w:rFonts w:cs="Times New Roman"/>
          <w:i/>
          <w:sz w:val="20"/>
          <w:szCs w:val="20"/>
          <w:lang w:val="en-US"/>
        </w:rPr>
      </w:pPr>
      <w:r w:rsidRPr="00503191">
        <w:rPr>
          <w:rFonts w:cs="Times New Roman"/>
          <w:i/>
          <w:sz w:val="20"/>
          <w:szCs w:val="20"/>
          <w:lang w:val="en-US"/>
        </w:rPr>
        <w:lastRenderedPageBreak/>
        <w:t xml:space="preserve">Appendix No. 1 to the Procedure for Investing and </w:t>
      </w:r>
    </w:p>
    <w:p w:rsidR="00503191" w:rsidRDefault="00503191" w:rsidP="00503191">
      <w:pPr>
        <w:ind w:firstLine="567"/>
        <w:jc w:val="right"/>
        <w:rPr>
          <w:rFonts w:cs="Times New Roman"/>
          <w:i/>
          <w:sz w:val="20"/>
          <w:szCs w:val="20"/>
        </w:rPr>
      </w:pPr>
      <w:r w:rsidRPr="00503191">
        <w:rPr>
          <w:rFonts w:cs="Times New Roman"/>
          <w:i/>
          <w:sz w:val="20"/>
          <w:szCs w:val="20"/>
          <w:lang w:val="en-US"/>
        </w:rPr>
        <w:t>(</w:t>
      </w:r>
      <w:proofErr w:type="gramStart"/>
      <w:r w:rsidRPr="00503191">
        <w:rPr>
          <w:rFonts w:cs="Times New Roman"/>
          <w:i/>
          <w:sz w:val="20"/>
          <w:szCs w:val="20"/>
          <w:lang w:val="en-US"/>
        </w:rPr>
        <w:t>or</w:t>
      </w:r>
      <w:proofErr w:type="gramEnd"/>
      <w:r w:rsidRPr="00503191">
        <w:rPr>
          <w:rFonts w:cs="Times New Roman"/>
          <w:i/>
          <w:sz w:val="20"/>
          <w:szCs w:val="20"/>
          <w:lang w:val="en-US"/>
        </w:rPr>
        <w:t xml:space="preserve">) Placement of Temporarily Available Funds, </w:t>
      </w:r>
    </w:p>
    <w:p w:rsidR="00CB7F25" w:rsidRPr="00503191" w:rsidRDefault="00503191" w:rsidP="00503191">
      <w:pPr>
        <w:ind w:firstLine="567"/>
        <w:jc w:val="right"/>
        <w:rPr>
          <w:rFonts w:cs="Times New Roman"/>
          <w:lang w:val="en-US"/>
        </w:rPr>
      </w:pPr>
      <w:r w:rsidRPr="00503191">
        <w:rPr>
          <w:rFonts w:cs="Times New Roman"/>
          <w:i/>
          <w:sz w:val="20"/>
          <w:szCs w:val="20"/>
          <w:lang w:val="en-US"/>
        </w:rPr>
        <w:t xml:space="preserve">February 20, </w:t>
      </w:r>
      <w:proofErr w:type="gramStart"/>
      <w:r w:rsidRPr="00503191">
        <w:rPr>
          <w:rFonts w:cs="Times New Roman"/>
          <w:i/>
          <w:sz w:val="20"/>
          <w:szCs w:val="20"/>
          <w:lang w:val="en-US"/>
        </w:rPr>
        <w:t>2017  Protocol</w:t>
      </w:r>
      <w:proofErr w:type="gramEnd"/>
      <w:r w:rsidRPr="00503191">
        <w:rPr>
          <w:rFonts w:cs="Times New Roman"/>
          <w:i/>
          <w:sz w:val="20"/>
          <w:szCs w:val="20"/>
          <w:lang w:val="en-US"/>
        </w:rPr>
        <w:t xml:space="preserve"> of the Fund Board №3</w:t>
      </w:r>
    </w:p>
    <w:p w:rsidR="00DC295F" w:rsidRPr="00503191" w:rsidRDefault="00DC295F" w:rsidP="00DC295F">
      <w:pPr>
        <w:ind w:left="1134"/>
        <w:jc w:val="center"/>
        <w:rPr>
          <w:rFonts w:cs="Times New Roman"/>
          <w:b/>
          <w:lang w:val="en-US"/>
        </w:rPr>
      </w:pPr>
    </w:p>
    <w:p w:rsidR="00DC295F" w:rsidRPr="00503191" w:rsidRDefault="00DC295F" w:rsidP="00DC295F">
      <w:pPr>
        <w:ind w:left="1134"/>
        <w:jc w:val="center"/>
        <w:rPr>
          <w:rFonts w:cs="Times New Roman"/>
          <w:b/>
          <w:lang w:val="en-US"/>
        </w:rPr>
      </w:pPr>
    </w:p>
    <w:p w:rsidR="00DC295F" w:rsidRDefault="00503191" w:rsidP="00503191">
      <w:pPr>
        <w:ind w:left="1134"/>
        <w:jc w:val="center"/>
        <w:rPr>
          <w:rFonts w:cs="Times New Roman"/>
          <w:b/>
        </w:rPr>
      </w:pPr>
      <w:proofErr w:type="spellStart"/>
      <w:r w:rsidRPr="00503191">
        <w:rPr>
          <w:rFonts w:cs="Times New Roman"/>
          <w:b/>
        </w:rPr>
        <w:t>Announcement</w:t>
      </w:r>
      <w:proofErr w:type="spellEnd"/>
    </w:p>
    <w:p w:rsidR="00503191" w:rsidRPr="00DC295F" w:rsidRDefault="00503191" w:rsidP="00503191">
      <w:pPr>
        <w:ind w:left="1134"/>
        <w:jc w:val="center"/>
        <w:rPr>
          <w:rFonts w:cs="Times New Roman"/>
        </w:rPr>
      </w:pPr>
    </w:p>
    <w:p w:rsidR="00503191" w:rsidRPr="00503191" w:rsidRDefault="00503191" w:rsidP="00503191">
      <w:pPr>
        <w:ind w:left="284" w:right="141" w:firstLine="567"/>
        <w:jc w:val="both"/>
        <w:rPr>
          <w:rFonts w:cs="Times New Roman"/>
          <w:lang w:val="en-US"/>
        </w:rPr>
      </w:pPr>
      <w:r w:rsidRPr="00503191">
        <w:rPr>
          <w:rFonts w:cs="Times New Roman"/>
          <w:lang w:val="en-US"/>
        </w:rPr>
        <w:t>The non-commercial organization "Fund for the Development of Economics and Direct Investments of the Chukotka Autonomous Region" (hereinafter referred to as the Fund, the Organizer) notifies the holding of a tender among credit institutions for the right to conclude a bank deposit agreement.</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The organizer of the competition is the Non-Profit Organization "Fund for the Development of Economics and Direct Investments of the Chukotka Autonomous Region".  </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The main criterion for competitive selection: </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 The proposed interest rate.  </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Additional criteria for competitive selection: </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 </w:t>
      </w:r>
      <w:proofErr w:type="gramStart"/>
      <w:r w:rsidRPr="00503191">
        <w:rPr>
          <w:rFonts w:cs="Times New Roman"/>
          <w:lang w:val="en-US"/>
        </w:rPr>
        <w:t>monthly</w:t>
      </w:r>
      <w:proofErr w:type="gramEnd"/>
      <w:r w:rsidRPr="00503191">
        <w:rPr>
          <w:rFonts w:cs="Times New Roman"/>
          <w:lang w:val="en-US"/>
        </w:rPr>
        <w:t xml:space="preserve"> accrual and payment of interest on the deposit (deposit), without the possibility of unilateral change in the interest rate in the direction of reduction during the contract period;  </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 Absence of commissions and fees for operations on the deposit account;  </w:t>
      </w:r>
    </w:p>
    <w:p w:rsidR="00503191" w:rsidRPr="00503191" w:rsidRDefault="00503191" w:rsidP="00503191">
      <w:pPr>
        <w:ind w:left="284" w:right="141" w:firstLine="567"/>
        <w:jc w:val="both"/>
        <w:rPr>
          <w:rFonts w:cs="Times New Roman"/>
          <w:lang w:val="en-US"/>
        </w:rPr>
      </w:pPr>
      <w:r w:rsidRPr="00503191">
        <w:rPr>
          <w:rFonts w:cs="Times New Roman"/>
          <w:lang w:val="en-US"/>
        </w:rPr>
        <w:t xml:space="preserve">• </w:t>
      </w:r>
      <w:proofErr w:type="gramStart"/>
      <w:r w:rsidRPr="00503191">
        <w:rPr>
          <w:rFonts w:cs="Times New Roman"/>
          <w:lang w:val="en-US"/>
        </w:rPr>
        <w:t>the</w:t>
      </w:r>
      <w:proofErr w:type="gramEnd"/>
      <w:r w:rsidRPr="00503191">
        <w:rPr>
          <w:rFonts w:cs="Times New Roman"/>
          <w:lang w:val="en-US"/>
        </w:rPr>
        <w:t xml:space="preserve"> possibility of unconditional full or partial early withdrawal of the deposit (deposit), within 10 (Ten) working days from the date the bank receives the notice of withdrawal, without loss of profitability.</w:t>
      </w:r>
    </w:p>
    <w:p w:rsidR="00503191" w:rsidRPr="00503191" w:rsidRDefault="00503191" w:rsidP="00503191">
      <w:pPr>
        <w:ind w:left="284" w:right="141" w:firstLine="567"/>
        <w:jc w:val="both"/>
        <w:rPr>
          <w:rFonts w:cs="Times New Roman"/>
          <w:lang w:val="en-US"/>
        </w:rPr>
      </w:pPr>
      <w:r w:rsidRPr="00503191">
        <w:rPr>
          <w:rFonts w:cs="Times New Roman"/>
          <w:lang w:val="en-US"/>
        </w:rPr>
        <w:t>Credit organizations applying for a loan must meet the requirements specified in the "Procedure for investing and / or placing temporarily available funds", approved on February 20, 2017.  Protocol of the Fund Council No. 3;</w:t>
      </w:r>
    </w:p>
    <w:p w:rsidR="00503191" w:rsidRPr="00503191" w:rsidRDefault="00503191" w:rsidP="00503191">
      <w:pPr>
        <w:ind w:left="284" w:right="141" w:firstLine="567"/>
        <w:jc w:val="both"/>
        <w:rPr>
          <w:rFonts w:cs="Times New Roman"/>
          <w:lang w:val="en-US"/>
        </w:rPr>
      </w:pPr>
      <w:r w:rsidRPr="00503191">
        <w:rPr>
          <w:rFonts w:cs="Times New Roman"/>
          <w:lang w:val="en-US"/>
        </w:rPr>
        <w:t>The contest is open only to credit institutions that submitted the required documents in full. The documents submitted applicants will not be returned. The conclusion of contracts of Bank Deposit (Deposit) is offered in the following lots:</w:t>
      </w:r>
    </w:p>
    <w:p w:rsidR="003F01A7" w:rsidRPr="00503191" w:rsidRDefault="003F01A7" w:rsidP="00503191">
      <w:pPr>
        <w:ind w:left="284" w:right="141" w:firstLine="567"/>
        <w:jc w:val="both"/>
        <w:rPr>
          <w:rFonts w:cs="Times New Rom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3261"/>
        <w:gridCol w:w="3118"/>
      </w:tblGrid>
      <w:tr w:rsidR="00AA4954" w:rsidRPr="00503191" w:rsidTr="00AA4954">
        <w:trPr>
          <w:trHeight w:val="259"/>
          <w:jc w:val="center"/>
        </w:trPr>
        <w:tc>
          <w:tcPr>
            <w:tcW w:w="987" w:type="dxa"/>
          </w:tcPr>
          <w:p w:rsidR="00AA4954" w:rsidRPr="00AA4954" w:rsidRDefault="00503191" w:rsidP="00AA4954">
            <w:pPr>
              <w:ind w:right="141" w:firstLine="29"/>
              <w:rPr>
                <w:rFonts w:cs="Times New Roman"/>
                <w:sz w:val="22"/>
                <w:szCs w:val="22"/>
              </w:rPr>
            </w:pPr>
            <w:proofErr w:type="spellStart"/>
            <w:r w:rsidRPr="00503191">
              <w:rPr>
                <w:rFonts w:cs="Times New Roman"/>
                <w:sz w:val="22"/>
                <w:szCs w:val="22"/>
              </w:rPr>
              <w:t>Lot</w:t>
            </w:r>
            <w:proofErr w:type="spellEnd"/>
            <w:r w:rsidRPr="00503191">
              <w:rPr>
                <w:rFonts w:cs="Times New Roman"/>
                <w:sz w:val="22"/>
                <w:szCs w:val="22"/>
              </w:rPr>
              <w:t xml:space="preserve"> 1</w:t>
            </w:r>
          </w:p>
        </w:tc>
        <w:tc>
          <w:tcPr>
            <w:tcW w:w="3261" w:type="dxa"/>
          </w:tcPr>
          <w:p w:rsidR="00AA4954" w:rsidRPr="00503191" w:rsidRDefault="00503191" w:rsidP="00AA4954">
            <w:pPr>
              <w:ind w:left="34" w:right="141" w:firstLine="34"/>
              <w:rPr>
                <w:rFonts w:cs="Times New Roman"/>
                <w:i/>
                <w:color w:val="404040" w:themeColor="text1" w:themeTint="BF"/>
                <w:sz w:val="22"/>
                <w:szCs w:val="22"/>
                <w:lang w:val="en-US"/>
              </w:rPr>
            </w:pPr>
            <w:r w:rsidRPr="00503191">
              <w:rPr>
                <w:rFonts w:cs="Times New Roman"/>
                <w:i/>
                <w:color w:val="404040" w:themeColor="text1" w:themeTint="BF"/>
                <w:sz w:val="22"/>
                <w:szCs w:val="22"/>
                <w:lang w:val="en-US"/>
              </w:rPr>
              <w:t>The amount of the deposit shall be indicated</w:t>
            </w:r>
          </w:p>
        </w:tc>
        <w:tc>
          <w:tcPr>
            <w:tcW w:w="3118" w:type="dxa"/>
          </w:tcPr>
          <w:p w:rsidR="00AA4954" w:rsidRPr="00503191" w:rsidRDefault="00503191" w:rsidP="00AA4954">
            <w:pPr>
              <w:ind w:left="34" w:right="141" w:firstLine="34"/>
              <w:rPr>
                <w:rFonts w:cs="Times New Roman"/>
                <w:i/>
                <w:color w:val="404040" w:themeColor="text1" w:themeTint="BF"/>
                <w:sz w:val="22"/>
                <w:szCs w:val="22"/>
                <w:lang w:val="en-US"/>
              </w:rPr>
            </w:pPr>
            <w:r w:rsidRPr="00503191">
              <w:rPr>
                <w:rFonts w:cs="Times New Roman"/>
                <w:i/>
                <w:color w:val="404040" w:themeColor="text1" w:themeTint="BF"/>
                <w:sz w:val="22"/>
                <w:szCs w:val="22"/>
                <w:lang w:val="en-US"/>
              </w:rPr>
              <w:t>The term of the deposit shall be indicated</w:t>
            </w:r>
          </w:p>
        </w:tc>
      </w:tr>
      <w:tr w:rsidR="00AA4954" w:rsidRPr="00503191" w:rsidTr="00AA4954">
        <w:trPr>
          <w:trHeight w:val="130"/>
          <w:jc w:val="center"/>
        </w:trPr>
        <w:tc>
          <w:tcPr>
            <w:tcW w:w="987" w:type="dxa"/>
          </w:tcPr>
          <w:p w:rsidR="00AA4954" w:rsidRPr="00AA4954" w:rsidRDefault="00503191" w:rsidP="00AA4954">
            <w:pPr>
              <w:ind w:right="141" w:firstLine="29"/>
              <w:rPr>
                <w:rFonts w:cs="Times New Roman"/>
                <w:sz w:val="22"/>
                <w:szCs w:val="22"/>
              </w:rPr>
            </w:pPr>
            <w:proofErr w:type="spellStart"/>
            <w:r w:rsidRPr="00503191">
              <w:rPr>
                <w:rFonts w:cs="Times New Roman"/>
                <w:sz w:val="22"/>
                <w:szCs w:val="22"/>
              </w:rPr>
              <w:t>Lot</w:t>
            </w:r>
            <w:proofErr w:type="spellEnd"/>
            <w:r w:rsidRPr="00503191">
              <w:rPr>
                <w:rFonts w:cs="Times New Roman"/>
                <w:sz w:val="22"/>
                <w:szCs w:val="22"/>
              </w:rPr>
              <w:t xml:space="preserve"> 2</w:t>
            </w:r>
          </w:p>
        </w:tc>
        <w:tc>
          <w:tcPr>
            <w:tcW w:w="3261" w:type="dxa"/>
          </w:tcPr>
          <w:p w:rsidR="00AA4954" w:rsidRPr="00503191" w:rsidRDefault="00503191" w:rsidP="00AA4954">
            <w:pPr>
              <w:ind w:left="34" w:right="141" w:firstLine="34"/>
              <w:rPr>
                <w:rFonts w:cs="Times New Roman"/>
                <w:i/>
                <w:color w:val="404040" w:themeColor="text1" w:themeTint="BF"/>
                <w:sz w:val="22"/>
                <w:szCs w:val="22"/>
                <w:lang w:val="en-US"/>
              </w:rPr>
            </w:pPr>
            <w:r w:rsidRPr="00503191">
              <w:rPr>
                <w:rFonts w:cs="Times New Roman"/>
                <w:i/>
                <w:color w:val="404040" w:themeColor="text1" w:themeTint="BF"/>
                <w:sz w:val="22"/>
                <w:szCs w:val="22"/>
                <w:lang w:val="en-US"/>
              </w:rPr>
              <w:t>The amount of the deposit shall be indicated</w:t>
            </w:r>
          </w:p>
        </w:tc>
        <w:tc>
          <w:tcPr>
            <w:tcW w:w="3118" w:type="dxa"/>
          </w:tcPr>
          <w:p w:rsidR="00AA4954" w:rsidRPr="00503191" w:rsidRDefault="00503191" w:rsidP="00AA4954">
            <w:pPr>
              <w:ind w:left="34" w:right="141" w:firstLine="34"/>
              <w:rPr>
                <w:rFonts w:cs="Times New Roman"/>
                <w:i/>
                <w:color w:val="404040" w:themeColor="text1" w:themeTint="BF"/>
                <w:sz w:val="22"/>
                <w:szCs w:val="22"/>
                <w:lang w:val="en-US"/>
              </w:rPr>
            </w:pPr>
            <w:r w:rsidRPr="00503191">
              <w:rPr>
                <w:rFonts w:cs="Times New Roman"/>
                <w:i/>
                <w:color w:val="404040" w:themeColor="text1" w:themeTint="BF"/>
                <w:sz w:val="22"/>
                <w:szCs w:val="22"/>
                <w:lang w:val="en-US"/>
              </w:rPr>
              <w:t>The term of the deposit shall be indicated</w:t>
            </w:r>
          </w:p>
        </w:tc>
      </w:tr>
    </w:tbl>
    <w:p w:rsidR="00503191" w:rsidRPr="00503191" w:rsidRDefault="00503191" w:rsidP="00CB471F">
      <w:pPr>
        <w:ind w:left="284" w:right="141" w:firstLine="567"/>
        <w:jc w:val="both"/>
        <w:rPr>
          <w:rFonts w:cs="Times New Roman"/>
          <w:b/>
          <w:lang w:val="en-US"/>
        </w:rPr>
      </w:pPr>
      <w:r w:rsidRPr="00503191">
        <w:rPr>
          <w:rFonts w:cs="Times New Roman"/>
          <w:b/>
          <w:lang w:val="en-US"/>
        </w:rPr>
        <w:t xml:space="preserve">Place, time and deadline for receipt of applications and documentation: </w:t>
      </w:r>
    </w:p>
    <w:p w:rsidR="00503191" w:rsidRDefault="00DC295F" w:rsidP="00CB471F">
      <w:pPr>
        <w:ind w:left="284" w:right="141" w:firstLine="567"/>
        <w:jc w:val="both"/>
        <w:rPr>
          <w:rFonts w:cs="Times New Roman"/>
        </w:rPr>
      </w:pPr>
      <w:r w:rsidRPr="00503191">
        <w:rPr>
          <w:rFonts w:cs="Times New Roman"/>
          <w:lang w:val="en-US"/>
        </w:rPr>
        <w:t xml:space="preserve">689000, </w:t>
      </w:r>
      <w:r w:rsidR="00503191" w:rsidRPr="00503191">
        <w:rPr>
          <w:rFonts w:cs="Times New Roman"/>
          <w:lang w:val="en-US"/>
        </w:rPr>
        <w:t xml:space="preserve">Chukotka Autonomous Region, Anadyr, </w:t>
      </w:r>
      <w:proofErr w:type="spellStart"/>
      <w:r w:rsidR="00503191" w:rsidRPr="00503191">
        <w:rPr>
          <w:rFonts w:cs="Times New Roman"/>
          <w:lang w:val="en-US"/>
        </w:rPr>
        <w:t>Otke</w:t>
      </w:r>
      <w:proofErr w:type="spellEnd"/>
      <w:r w:rsidR="00503191" w:rsidRPr="00503191">
        <w:rPr>
          <w:rFonts w:cs="Times New Roman"/>
          <w:lang w:val="en-US"/>
        </w:rPr>
        <w:t xml:space="preserve">, 2, 2 </w:t>
      </w:r>
      <w:proofErr w:type="gramStart"/>
      <w:r w:rsidR="00503191" w:rsidRPr="00503191">
        <w:rPr>
          <w:rFonts w:cs="Times New Roman"/>
          <w:lang w:val="en-US"/>
        </w:rPr>
        <w:t>floor</w:t>
      </w:r>
      <w:proofErr w:type="gramEnd"/>
      <w:r w:rsidR="00503191" w:rsidRPr="00503191">
        <w:rPr>
          <w:rFonts w:cs="Times New Roman"/>
          <w:lang w:val="en-US"/>
        </w:rPr>
        <w:t xml:space="preserve">, office.  </w:t>
      </w:r>
      <w:r w:rsidR="00503191" w:rsidRPr="00503191">
        <w:rPr>
          <w:rFonts w:cs="Times New Roman"/>
        </w:rPr>
        <w:t xml:space="preserve">42, </w:t>
      </w:r>
    </w:p>
    <w:p w:rsidR="00DC295F" w:rsidRPr="00503191" w:rsidRDefault="00503191" w:rsidP="00503191">
      <w:pPr>
        <w:ind w:right="141"/>
        <w:jc w:val="both"/>
        <w:rPr>
          <w:rFonts w:cs="Times New Roman"/>
          <w:lang w:val="en-US"/>
        </w:rPr>
      </w:pPr>
      <w:r w:rsidRPr="00503191">
        <w:rPr>
          <w:rFonts w:cs="Times New Roman"/>
          <w:lang w:val="en-US"/>
        </w:rPr>
        <w:t xml:space="preserve">     </w:t>
      </w:r>
      <w:proofErr w:type="gramStart"/>
      <w:r w:rsidRPr="00503191">
        <w:rPr>
          <w:rFonts w:cs="Times New Roman"/>
          <w:lang w:val="en-US"/>
        </w:rPr>
        <w:t>tel.</w:t>
      </w:r>
      <w:r w:rsidR="00DC295F" w:rsidRPr="00503191">
        <w:rPr>
          <w:rFonts w:cs="Times New Roman"/>
          <w:lang w:val="en-US"/>
        </w:rPr>
        <w:t xml:space="preserve"> (42722) 6-93-29</w:t>
      </w:r>
      <w:r w:rsidR="00FE7B4C" w:rsidRPr="00503191">
        <w:rPr>
          <w:rFonts w:cs="Times New Roman"/>
          <w:lang w:val="en-US"/>
        </w:rPr>
        <w:t>.</w:t>
      </w:r>
      <w:proofErr w:type="gramEnd"/>
    </w:p>
    <w:p w:rsidR="00503191" w:rsidRDefault="00503191" w:rsidP="00CB471F">
      <w:pPr>
        <w:ind w:left="284" w:right="141" w:firstLine="567"/>
        <w:jc w:val="both"/>
        <w:rPr>
          <w:rFonts w:cs="Times New Roman"/>
        </w:rPr>
      </w:pPr>
      <w:r w:rsidRPr="00503191">
        <w:rPr>
          <w:rFonts w:cs="Times New Roman"/>
          <w:lang w:val="en-US"/>
        </w:rPr>
        <w:t>Acceptance of bids starts at</w:t>
      </w:r>
      <w:r w:rsidR="00CB7F25" w:rsidRPr="00503191">
        <w:rPr>
          <w:rFonts w:cs="Times New Roman"/>
          <w:lang w:val="en-US"/>
        </w:rPr>
        <w:t xml:space="preserve"> </w:t>
      </w:r>
      <w:r w:rsidR="00FE7B4C" w:rsidRPr="00503191">
        <w:rPr>
          <w:rFonts w:cs="Times New Roman"/>
          <w:lang w:val="en-US"/>
        </w:rPr>
        <w:t>09</w:t>
      </w:r>
      <w:r w:rsidRPr="00503191">
        <w:rPr>
          <w:rFonts w:cs="Times New Roman"/>
          <w:lang w:val="en-US"/>
        </w:rPr>
        <w:t>:00</w:t>
      </w:r>
      <w:r w:rsidR="00CB7F25" w:rsidRPr="00503191">
        <w:rPr>
          <w:rFonts w:cs="Times New Roman"/>
          <w:lang w:val="en-US"/>
        </w:rPr>
        <w:t xml:space="preserve"> «</w:t>
      </w:r>
      <w:r w:rsidR="00FE7B4C" w:rsidRPr="00503191">
        <w:rPr>
          <w:rFonts w:cs="Times New Roman"/>
          <w:lang w:val="en-US"/>
        </w:rPr>
        <w:t>__</w:t>
      </w:r>
      <w:r w:rsidR="00CB7F25" w:rsidRPr="00503191">
        <w:rPr>
          <w:rFonts w:cs="Times New Roman"/>
          <w:lang w:val="en-US"/>
        </w:rPr>
        <w:t xml:space="preserve">» </w:t>
      </w:r>
      <w:r w:rsidR="00FE7B4C" w:rsidRPr="00503191">
        <w:rPr>
          <w:rFonts w:cs="Times New Roman"/>
          <w:lang w:val="en-US"/>
        </w:rPr>
        <w:t>_____</w:t>
      </w:r>
      <w:r w:rsidR="00CB7F25" w:rsidRPr="00503191">
        <w:rPr>
          <w:rFonts w:cs="Times New Roman"/>
          <w:lang w:val="en-US"/>
        </w:rPr>
        <w:t xml:space="preserve"> 20</w:t>
      </w:r>
      <w:r w:rsidR="00FE7B4C" w:rsidRPr="00503191">
        <w:rPr>
          <w:rFonts w:cs="Times New Roman"/>
          <w:lang w:val="en-US"/>
        </w:rPr>
        <w:t>_</w:t>
      </w:r>
      <w:proofErr w:type="gramStart"/>
      <w:r w:rsidR="00FE7B4C" w:rsidRPr="00503191">
        <w:rPr>
          <w:rFonts w:cs="Times New Roman"/>
          <w:lang w:val="en-US"/>
        </w:rPr>
        <w:t>_</w:t>
      </w:r>
      <w:r w:rsidRPr="00503191">
        <w:rPr>
          <w:rFonts w:cs="Times New Roman"/>
          <w:lang w:val="en-US"/>
        </w:rPr>
        <w:t xml:space="preserve"> </w:t>
      </w:r>
      <w:r w:rsidR="00CB7F25" w:rsidRPr="00503191">
        <w:rPr>
          <w:rFonts w:cs="Times New Roman"/>
          <w:lang w:val="en-US"/>
        </w:rPr>
        <w:t>,</w:t>
      </w:r>
      <w:proofErr w:type="gramEnd"/>
      <w:r w:rsidR="00CB7F25" w:rsidRPr="00503191">
        <w:rPr>
          <w:rFonts w:cs="Times New Roman"/>
          <w:lang w:val="en-US"/>
        </w:rPr>
        <w:t xml:space="preserve"> </w:t>
      </w:r>
      <w:r w:rsidRPr="00503191">
        <w:rPr>
          <w:rFonts w:cs="Times New Roman"/>
          <w:lang w:val="en-US"/>
        </w:rPr>
        <w:t xml:space="preserve">is held on working days from 09:00 until 6:00 pm, lunch break from 12:30 until 14:30.  </w:t>
      </w:r>
      <w:proofErr w:type="spellStart"/>
      <w:r>
        <w:rPr>
          <w:rFonts w:cs="Times New Roman"/>
        </w:rPr>
        <w:t>And</w:t>
      </w:r>
      <w:proofErr w:type="spellEnd"/>
      <w:r>
        <w:rPr>
          <w:rFonts w:cs="Times New Roman"/>
        </w:rPr>
        <w:t xml:space="preserve"> </w:t>
      </w:r>
      <w:proofErr w:type="spellStart"/>
      <w:r>
        <w:rPr>
          <w:rFonts w:cs="Times New Roman"/>
        </w:rPr>
        <w:t>ends</w:t>
      </w:r>
      <w:proofErr w:type="spellEnd"/>
      <w:r>
        <w:rPr>
          <w:rFonts w:cs="Times New Roman"/>
        </w:rPr>
        <w:t xml:space="preserve"> </w:t>
      </w:r>
      <w:proofErr w:type="spellStart"/>
      <w:r>
        <w:rPr>
          <w:rFonts w:cs="Times New Roman"/>
        </w:rPr>
        <w:t>at</w:t>
      </w:r>
      <w:proofErr w:type="spellEnd"/>
      <w:r>
        <w:rPr>
          <w:rFonts w:cs="Times New Roman"/>
        </w:rPr>
        <w:t xml:space="preserve"> 5 </w:t>
      </w:r>
      <w:proofErr w:type="spellStart"/>
      <w:r>
        <w:rPr>
          <w:rFonts w:cs="Times New Roman"/>
        </w:rPr>
        <w:t>pm</w:t>
      </w:r>
      <w:proofErr w:type="spellEnd"/>
      <w:r>
        <w:rPr>
          <w:rFonts w:cs="Times New Roman"/>
        </w:rPr>
        <w:t>.  «__»</w:t>
      </w:r>
      <w:r w:rsidRPr="00503191">
        <w:rPr>
          <w:rFonts w:cs="Times New Roman"/>
        </w:rPr>
        <w:t xml:space="preserve"> _______ 20__ .</w:t>
      </w:r>
      <w:r w:rsidR="00CB7F25" w:rsidRPr="00DC295F">
        <w:rPr>
          <w:rFonts w:cs="Times New Roman"/>
        </w:rPr>
        <w:t xml:space="preserve"> </w:t>
      </w:r>
    </w:p>
    <w:p w:rsidR="00503191" w:rsidRDefault="00503191" w:rsidP="00503191">
      <w:pPr>
        <w:ind w:left="284" w:right="141" w:firstLine="567"/>
        <w:jc w:val="both"/>
        <w:rPr>
          <w:rFonts w:cs="Times New Roman"/>
        </w:rPr>
      </w:pPr>
      <w:r w:rsidRPr="00503191">
        <w:rPr>
          <w:rFonts w:cs="Times New Roman"/>
          <w:b/>
          <w:lang w:val="en-US"/>
        </w:rPr>
        <w:t>Place</w:t>
      </w:r>
      <w:r w:rsidRPr="00503191">
        <w:rPr>
          <w:rFonts w:cs="Times New Roman"/>
          <w:b/>
        </w:rPr>
        <w:t xml:space="preserve">, </w:t>
      </w:r>
      <w:r w:rsidRPr="00503191">
        <w:rPr>
          <w:rFonts w:cs="Times New Roman"/>
          <w:b/>
          <w:lang w:val="en-US"/>
        </w:rPr>
        <w:t>date</w:t>
      </w:r>
      <w:r w:rsidRPr="00503191">
        <w:rPr>
          <w:rFonts w:cs="Times New Roman"/>
          <w:b/>
        </w:rPr>
        <w:t xml:space="preserve"> </w:t>
      </w:r>
      <w:r w:rsidRPr="00503191">
        <w:rPr>
          <w:rFonts w:cs="Times New Roman"/>
          <w:b/>
          <w:lang w:val="en-US"/>
        </w:rPr>
        <w:t>of</w:t>
      </w:r>
      <w:r w:rsidRPr="00503191">
        <w:rPr>
          <w:rFonts w:cs="Times New Roman"/>
          <w:b/>
        </w:rPr>
        <w:t xml:space="preserve"> </w:t>
      </w:r>
      <w:r w:rsidRPr="00503191">
        <w:rPr>
          <w:rFonts w:cs="Times New Roman"/>
          <w:b/>
          <w:lang w:val="en-US"/>
        </w:rPr>
        <w:t>consideration</w:t>
      </w:r>
      <w:r w:rsidRPr="00503191">
        <w:rPr>
          <w:rFonts w:cs="Times New Roman"/>
          <w:b/>
        </w:rPr>
        <w:t xml:space="preserve"> </w:t>
      </w:r>
      <w:r w:rsidRPr="00503191">
        <w:rPr>
          <w:rFonts w:cs="Times New Roman"/>
          <w:b/>
          <w:lang w:val="en-US"/>
        </w:rPr>
        <w:t>of</w:t>
      </w:r>
      <w:r w:rsidRPr="00503191">
        <w:rPr>
          <w:rFonts w:cs="Times New Roman"/>
          <w:b/>
        </w:rPr>
        <w:t xml:space="preserve"> </w:t>
      </w:r>
      <w:r w:rsidRPr="00503191">
        <w:rPr>
          <w:rFonts w:cs="Times New Roman"/>
          <w:b/>
          <w:lang w:val="en-US"/>
        </w:rPr>
        <w:t>applications</w:t>
      </w:r>
      <w:r w:rsidRPr="00503191">
        <w:rPr>
          <w:rFonts w:cs="Times New Roman"/>
          <w:b/>
        </w:rPr>
        <w:t xml:space="preserve"> </w:t>
      </w:r>
      <w:r w:rsidRPr="00503191">
        <w:rPr>
          <w:rFonts w:cs="Times New Roman"/>
          <w:b/>
          <w:lang w:val="en-US"/>
        </w:rPr>
        <w:t>and</w:t>
      </w:r>
      <w:r w:rsidRPr="00503191">
        <w:rPr>
          <w:rFonts w:cs="Times New Roman"/>
          <w:b/>
        </w:rPr>
        <w:t xml:space="preserve"> </w:t>
      </w:r>
      <w:r w:rsidRPr="00503191">
        <w:rPr>
          <w:rFonts w:cs="Times New Roman"/>
          <w:b/>
          <w:lang w:val="en-US"/>
        </w:rPr>
        <w:t>summarizing</w:t>
      </w:r>
      <w:r w:rsidRPr="00503191">
        <w:rPr>
          <w:rFonts w:cs="Times New Roman"/>
          <w:b/>
        </w:rPr>
        <w:t xml:space="preserve"> </w:t>
      </w:r>
      <w:r w:rsidRPr="00503191">
        <w:rPr>
          <w:rFonts w:cs="Times New Roman"/>
          <w:b/>
          <w:lang w:val="en-US"/>
        </w:rPr>
        <w:t>t</w:t>
      </w:r>
      <w:r>
        <w:rPr>
          <w:rFonts w:cs="Times New Roman"/>
          <w:b/>
          <w:lang w:val="en-US"/>
        </w:rPr>
        <w:t>he</w:t>
      </w:r>
      <w:r w:rsidRPr="00503191">
        <w:rPr>
          <w:rFonts w:cs="Times New Roman"/>
          <w:b/>
        </w:rPr>
        <w:t xml:space="preserve"> </w:t>
      </w:r>
      <w:r>
        <w:rPr>
          <w:rFonts w:cs="Times New Roman"/>
          <w:b/>
          <w:lang w:val="en-US"/>
        </w:rPr>
        <w:t>results</w:t>
      </w:r>
      <w:r w:rsidRPr="00503191">
        <w:rPr>
          <w:rFonts w:cs="Times New Roman"/>
          <w:b/>
        </w:rPr>
        <w:t xml:space="preserve"> </w:t>
      </w:r>
      <w:r>
        <w:rPr>
          <w:rFonts w:cs="Times New Roman"/>
          <w:b/>
          <w:lang w:val="en-US"/>
        </w:rPr>
        <w:t>of</w:t>
      </w:r>
      <w:r w:rsidRPr="00503191">
        <w:rPr>
          <w:rFonts w:cs="Times New Roman"/>
          <w:b/>
        </w:rPr>
        <w:t xml:space="preserve"> </w:t>
      </w:r>
      <w:r>
        <w:rPr>
          <w:rFonts w:cs="Times New Roman"/>
          <w:b/>
          <w:lang w:val="en-US"/>
        </w:rPr>
        <w:t>the</w:t>
      </w:r>
      <w:r w:rsidRPr="00503191">
        <w:rPr>
          <w:rFonts w:cs="Times New Roman"/>
          <w:b/>
        </w:rPr>
        <w:t xml:space="preserve"> </w:t>
      </w:r>
      <w:r>
        <w:rPr>
          <w:rFonts w:cs="Times New Roman"/>
          <w:b/>
          <w:lang w:val="en-US"/>
        </w:rPr>
        <w:t>competition</w:t>
      </w:r>
      <w:r w:rsidRPr="00503191">
        <w:rPr>
          <w:rFonts w:cs="Times New Roman"/>
          <w:b/>
        </w:rPr>
        <w:t xml:space="preserve">: </w:t>
      </w:r>
      <w:r w:rsidRPr="00503191">
        <w:rPr>
          <w:rFonts w:cs="Times New Roman"/>
        </w:rPr>
        <w:t>10:00   "__" _______ 20_</w:t>
      </w:r>
      <w:proofErr w:type="gramStart"/>
      <w:r w:rsidRPr="00503191">
        <w:rPr>
          <w:rFonts w:cs="Times New Roman"/>
        </w:rPr>
        <w:t>_ ,</w:t>
      </w:r>
      <w:proofErr w:type="gramEnd"/>
      <w:r w:rsidRPr="00503191">
        <w:rPr>
          <w:rFonts w:cs="Times New Roman"/>
        </w:rPr>
        <w:t xml:space="preserve"> </w:t>
      </w:r>
      <w:proofErr w:type="spellStart"/>
      <w:r w:rsidRPr="00503191">
        <w:rPr>
          <w:rFonts w:cs="Times New Roman"/>
        </w:rPr>
        <w:t>Anadyr</w:t>
      </w:r>
      <w:proofErr w:type="spellEnd"/>
      <w:r w:rsidRPr="00503191">
        <w:rPr>
          <w:rFonts w:cs="Times New Roman"/>
        </w:rPr>
        <w:t xml:space="preserve">, </w:t>
      </w:r>
      <w:proofErr w:type="spellStart"/>
      <w:r w:rsidRPr="00503191">
        <w:rPr>
          <w:rFonts w:cs="Times New Roman"/>
        </w:rPr>
        <w:t>Otke</w:t>
      </w:r>
      <w:proofErr w:type="spellEnd"/>
      <w:r w:rsidRPr="00503191">
        <w:rPr>
          <w:rFonts w:cs="Times New Roman"/>
        </w:rPr>
        <w:t>, 2.</w:t>
      </w:r>
    </w:p>
    <w:p w:rsidR="00503191" w:rsidRDefault="00503191" w:rsidP="00503191">
      <w:pPr>
        <w:ind w:left="284" w:right="141" w:firstLine="567"/>
        <w:jc w:val="both"/>
        <w:rPr>
          <w:rFonts w:cs="Times New Roman"/>
        </w:rPr>
      </w:pPr>
      <w:r w:rsidRPr="00503191">
        <w:rPr>
          <w:rFonts w:cs="Times New Roman"/>
          <w:lang w:val="en-US"/>
        </w:rPr>
        <w:t xml:space="preserve">The bank deposit (deposit) agreements for each lot between the Fund and the winner (s) of the tender shall be concluded no later than 20 working days from the day of the end of the competition. </w:t>
      </w:r>
    </w:p>
    <w:p w:rsidR="00CB7F25" w:rsidRPr="00503191" w:rsidRDefault="00503191" w:rsidP="00503191">
      <w:pPr>
        <w:ind w:left="284" w:right="141" w:firstLine="567"/>
        <w:jc w:val="both"/>
        <w:rPr>
          <w:rFonts w:cs="Times New Roman"/>
          <w:b/>
          <w:lang w:val="en-US"/>
        </w:rPr>
      </w:pPr>
      <w:r w:rsidRPr="00503191">
        <w:rPr>
          <w:rFonts w:cs="Times New Roman"/>
          <w:lang w:val="en-US"/>
        </w:rPr>
        <w:t>As a result of the contest, several winners' banks may be identified.</w:t>
      </w:r>
    </w:p>
    <w:p w:rsidR="00503191" w:rsidRPr="00503191" w:rsidRDefault="00503191" w:rsidP="00503191">
      <w:pPr>
        <w:ind w:left="284" w:right="141" w:firstLine="567"/>
        <w:jc w:val="both"/>
        <w:rPr>
          <w:rFonts w:cs="Times New Roman"/>
          <w:lang w:val="en-US"/>
        </w:rPr>
      </w:pPr>
      <w:r w:rsidRPr="00503191">
        <w:rPr>
          <w:rFonts w:cs="Times New Roman"/>
          <w:lang w:val="en-US"/>
        </w:rPr>
        <w:t>For each lot, one winner can be selected.</w:t>
      </w:r>
    </w:p>
    <w:p w:rsidR="00CB7F25" w:rsidRPr="00503191" w:rsidRDefault="00503191" w:rsidP="00503191">
      <w:pPr>
        <w:ind w:left="284" w:right="141" w:firstLine="567"/>
        <w:jc w:val="both"/>
        <w:rPr>
          <w:rFonts w:cs="Times New Roman"/>
          <w:lang w:val="en-US"/>
        </w:rPr>
      </w:pPr>
      <w:r w:rsidRPr="00503191">
        <w:rPr>
          <w:rFonts w:cs="Times New Roman"/>
          <w:lang w:val="en-US"/>
        </w:rPr>
        <w:t xml:space="preserve">The representative of the Organizer of the competition for circulation on the issues of the competition: the director of the Fund Olga </w:t>
      </w:r>
      <w:proofErr w:type="spellStart"/>
      <w:r w:rsidRPr="00503191">
        <w:rPr>
          <w:rFonts w:cs="Times New Roman"/>
          <w:lang w:val="en-US"/>
        </w:rPr>
        <w:t>Sergeevna</w:t>
      </w:r>
      <w:proofErr w:type="spellEnd"/>
      <w:r w:rsidRPr="00503191">
        <w:rPr>
          <w:rFonts w:cs="Times New Roman"/>
          <w:lang w:val="en-US"/>
        </w:rPr>
        <w:t xml:space="preserve"> </w:t>
      </w:r>
      <w:proofErr w:type="spellStart"/>
      <w:r w:rsidRPr="00503191">
        <w:rPr>
          <w:rFonts w:cs="Times New Roman"/>
          <w:lang w:val="en-US"/>
        </w:rPr>
        <w:t>Plotnikova</w:t>
      </w:r>
      <w:proofErr w:type="spellEnd"/>
      <w:r w:rsidRPr="00503191">
        <w:rPr>
          <w:rFonts w:cs="Times New Roman"/>
          <w:lang w:val="en-US"/>
        </w:rPr>
        <w:t xml:space="preserve"> tel.</w:t>
      </w:r>
      <w:r w:rsidR="00CB7F25" w:rsidRPr="00503191">
        <w:rPr>
          <w:rFonts w:cs="Times New Roman"/>
          <w:lang w:val="en-US"/>
        </w:rPr>
        <w:t xml:space="preserve"> (</w:t>
      </w:r>
      <w:r w:rsidR="00FE7B4C" w:rsidRPr="00503191">
        <w:rPr>
          <w:rFonts w:cs="Times New Roman"/>
          <w:lang w:val="en-US"/>
        </w:rPr>
        <w:t>42722</w:t>
      </w:r>
      <w:r w:rsidR="00CB7F25" w:rsidRPr="00503191">
        <w:rPr>
          <w:rFonts w:cs="Times New Roman"/>
          <w:lang w:val="en-US"/>
        </w:rPr>
        <w:t xml:space="preserve">) </w:t>
      </w:r>
      <w:r w:rsidR="00FE7B4C" w:rsidRPr="00503191">
        <w:rPr>
          <w:rFonts w:cs="Times New Roman"/>
          <w:lang w:val="en-US"/>
        </w:rPr>
        <w:t>6-93-29, +7 924-666-0112.</w:t>
      </w:r>
    </w:p>
    <w:p w:rsidR="00CB7F25" w:rsidRPr="00503191" w:rsidRDefault="00CB7F25" w:rsidP="00CB471F">
      <w:pPr>
        <w:keepLines/>
        <w:widowControl w:val="0"/>
        <w:autoSpaceDE w:val="0"/>
        <w:autoSpaceDN w:val="0"/>
        <w:adjustRightInd w:val="0"/>
        <w:ind w:left="284" w:right="141" w:firstLine="300"/>
        <w:jc w:val="both"/>
        <w:rPr>
          <w:rFonts w:cs="Times New Roman"/>
          <w:lang w:val="en-US"/>
        </w:rPr>
      </w:pPr>
      <w:r w:rsidRPr="00503191">
        <w:rPr>
          <w:rFonts w:cs="Times New Roman"/>
          <w:b/>
          <w:lang w:val="en-US"/>
        </w:rPr>
        <w:t xml:space="preserve">    </w:t>
      </w:r>
    </w:p>
    <w:p w:rsidR="00DC295F" w:rsidRPr="00503191" w:rsidRDefault="00DC295F"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B15C7A" w:rsidRPr="00503191" w:rsidRDefault="00B15C7A" w:rsidP="00CB7F25">
      <w:pPr>
        <w:ind w:firstLine="709"/>
        <w:jc w:val="both"/>
        <w:rPr>
          <w:rFonts w:cs="Times New Roman"/>
          <w:b/>
          <w:lang w:val="en-US"/>
        </w:rPr>
      </w:pPr>
    </w:p>
    <w:p w:rsidR="00503191" w:rsidRDefault="00503191" w:rsidP="00503191">
      <w:pPr>
        <w:ind w:firstLine="567"/>
        <w:jc w:val="right"/>
        <w:rPr>
          <w:rFonts w:cs="Times New Roman"/>
          <w:i/>
          <w:sz w:val="20"/>
          <w:szCs w:val="20"/>
        </w:rPr>
      </w:pPr>
      <w:r w:rsidRPr="00503191">
        <w:rPr>
          <w:rFonts w:cs="Times New Roman"/>
          <w:i/>
          <w:sz w:val="20"/>
          <w:szCs w:val="20"/>
          <w:lang w:val="en-US"/>
        </w:rPr>
        <w:lastRenderedPageBreak/>
        <w:t xml:space="preserve">Appendix No. 2 to the Procedure for Investing and </w:t>
      </w:r>
    </w:p>
    <w:p w:rsidR="00503191" w:rsidRPr="00503191" w:rsidRDefault="00503191" w:rsidP="00503191">
      <w:pPr>
        <w:ind w:firstLine="567"/>
        <w:jc w:val="right"/>
        <w:rPr>
          <w:rFonts w:cs="Times New Roman"/>
          <w:i/>
          <w:sz w:val="20"/>
          <w:szCs w:val="20"/>
          <w:lang w:val="en-US"/>
        </w:rPr>
      </w:pPr>
      <w:r w:rsidRPr="00503191">
        <w:rPr>
          <w:rFonts w:cs="Times New Roman"/>
          <w:i/>
          <w:sz w:val="20"/>
          <w:szCs w:val="20"/>
          <w:lang w:val="en-US"/>
        </w:rPr>
        <w:t>(</w:t>
      </w:r>
      <w:proofErr w:type="gramStart"/>
      <w:r w:rsidRPr="00503191">
        <w:rPr>
          <w:rFonts w:cs="Times New Roman"/>
          <w:i/>
          <w:sz w:val="20"/>
          <w:szCs w:val="20"/>
          <w:lang w:val="en-US"/>
        </w:rPr>
        <w:t>or</w:t>
      </w:r>
      <w:proofErr w:type="gramEnd"/>
      <w:r w:rsidRPr="00503191">
        <w:rPr>
          <w:rFonts w:cs="Times New Roman"/>
          <w:i/>
          <w:sz w:val="20"/>
          <w:szCs w:val="20"/>
          <w:lang w:val="en-US"/>
        </w:rPr>
        <w:t xml:space="preserve">) Placement of Temporarily Available Funds, </w:t>
      </w:r>
    </w:p>
    <w:p w:rsidR="00B15C7A" w:rsidRPr="00503191" w:rsidRDefault="00503191" w:rsidP="00503191">
      <w:pPr>
        <w:ind w:firstLine="567"/>
        <w:jc w:val="right"/>
        <w:rPr>
          <w:rFonts w:cs="Times New Roman"/>
          <w:lang w:val="en-US"/>
        </w:rPr>
      </w:pPr>
      <w:proofErr w:type="gramStart"/>
      <w:r w:rsidRPr="00503191">
        <w:rPr>
          <w:rFonts w:cs="Times New Roman"/>
          <w:i/>
          <w:sz w:val="20"/>
          <w:szCs w:val="20"/>
          <w:lang w:val="en-US"/>
        </w:rPr>
        <w:t>"20" February 2017g.</w:t>
      </w:r>
      <w:proofErr w:type="gramEnd"/>
      <w:r w:rsidRPr="00503191">
        <w:rPr>
          <w:rFonts w:cs="Times New Roman"/>
          <w:i/>
          <w:sz w:val="20"/>
          <w:szCs w:val="20"/>
          <w:lang w:val="en-US"/>
        </w:rPr>
        <w:t xml:space="preserve">  Protocol of the Fund Board №3</w:t>
      </w:r>
    </w:p>
    <w:p w:rsidR="00B15C7A" w:rsidRPr="00503191" w:rsidRDefault="00B15C7A" w:rsidP="00B15C7A">
      <w:pPr>
        <w:ind w:left="1134"/>
        <w:jc w:val="center"/>
        <w:rPr>
          <w:rFonts w:cs="Times New Roman"/>
          <w:b/>
          <w:lang w:val="en-US"/>
        </w:rPr>
      </w:pPr>
    </w:p>
    <w:p w:rsidR="00503191" w:rsidRDefault="00503191" w:rsidP="00503191">
      <w:pPr>
        <w:ind w:left="1134"/>
        <w:jc w:val="right"/>
        <w:rPr>
          <w:rFonts w:cs="Times New Roman"/>
          <w:b/>
        </w:rPr>
      </w:pPr>
      <w:r w:rsidRPr="00503191">
        <w:rPr>
          <w:rFonts w:cs="Times New Roman"/>
          <w:b/>
          <w:lang w:val="en-US"/>
        </w:rPr>
        <w:t xml:space="preserve">To </w:t>
      </w:r>
      <w:proofErr w:type="spellStart"/>
      <w:r w:rsidRPr="00503191">
        <w:rPr>
          <w:rFonts w:cs="Times New Roman"/>
          <w:b/>
          <w:lang w:val="en-US"/>
        </w:rPr>
        <w:t>Plotnikova</w:t>
      </w:r>
      <w:proofErr w:type="spellEnd"/>
      <w:r w:rsidRPr="00503191">
        <w:rPr>
          <w:rFonts w:cs="Times New Roman"/>
          <w:b/>
          <w:lang w:val="en-US"/>
        </w:rPr>
        <w:t xml:space="preserve"> OS, Director of the Non-Profit </w:t>
      </w:r>
    </w:p>
    <w:p w:rsidR="00503191" w:rsidRDefault="00503191" w:rsidP="00503191">
      <w:pPr>
        <w:ind w:left="1134"/>
        <w:jc w:val="right"/>
        <w:rPr>
          <w:rFonts w:cs="Times New Roman"/>
          <w:b/>
        </w:rPr>
      </w:pPr>
      <w:r w:rsidRPr="00503191">
        <w:rPr>
          <w:rFonts w:cs="Times New Roman"/>
          <w:b/>
          <w:lang w:val="en-US"/>
        </w:rPr>
        <w:t xml:space="preserve">Organization "Fund for Development of </w:t>
      </w:r>
    </w:p>
    <w:p w:rsidR="00503191" w:rsidRPr="00503191" w:rsidRDefault="00503191" w:rsidP="00503191">
      <w:pPr>
        <w:ind w:left="1134"/>
        <w:jc w:val="right"/>
        <w:rPr>
          <w:rFonts w:cs="Times New Roman"/>
          <w:b/>
          <w:lang w:val="en-US"/>
        </w:rPr>
      </w:pPr>
      <w:r w:rsidRPr="00503191">
        <w:rPr>
          <w:rFonts w:cs="Times New Roman"/>
          <w:b/>
          <w:lang w:val="en-US"/>
        </w:rPr>
        <w:t xml:space="preserve">Economics and Direct Investments of the </w:t>
      </w:r>
    </w:p>
    <w:p w:rsidR="00F25400" w:rsidRPr="00503191" w:rsidRDefault="00503191" w:rsidP="00503191">
      <w:pPr>
        <w:ind w:left="1134"/>
        <w:jc w:val="right"/>
        <w:rPr>
          <w:rFonts w:cs="Times New Roman"/>
          <w:b/>
          <w:lang w:val="en-US"/>
        </w:rPr>
      </w:pPr>
      <w:proofErr w:type="gramStart"/>
      <w:r w:rsidRPr="00503191">
        <w:rPr>
          <w:rFonts w:cs="Times New Roman"/>
          <w:b/>
          <w:lang w:val="en-US"/>
        </w:rPr>
        <w:t>Chukotka Autonomous Region".</w:t>
      </w:r>
      <w:proofErr w:type="gramEnd"/>
    </w:p>
    <w:p w:rsidR="00F25400" w:rsidRPr="00503191" w:rsidRDefault="00F25400" w:rsidP="00B15C7A">
      <w:pPr>
        <w:ind w:left="1134"/>
        <w:jc w:val="center"/>
        <w:rPr>
          <w:rFonts w:cs="Times New Roman"/>
          <w:b/>
          <w:lang w:val="en-US"/>
        </w:rPr>
      </w:pPr>
    </w:p>
    <w:p w:rsidR="00247425" w:rsidRPr="00503191" w:rsidRDefault="00247425" w:rsidP="00484478">
      <w:pPr>
        <w:ind w:left="1134"/>
        <w:jc w:val="center"/>
        <w:rPr>
          <w:rFonts w:cs="Times New Roman"/>
          <w:b/>
          <w:lang w:val="en-US"/>
        </w:rPr>
      </w:pPr>
    </w:p>
    <w:p w:rsidR="00503191" w:rsidRPr="00503191" w:rsidRDefault="00503191" w:rsidP="00484478">
      <w:pPr>
        <w:ind w:left="1134"/>
        <w:jc w:val="center"/>
        <w:rPr>
          <w:rFonts w:cs="Times New Roman"/>
          <w:b/>
          <w:lang w:val="en-US"/>
        </w:rPr>
      </w:pPr>
      <w:r w:rsidRPr="00503191">
        <w:rPr>
          <w:rFonts w:cs="Times New Roman"/>
          <w:b/>
          <w:lang w:val="en-US"/>
        </w:rPr>
        <w:t>APPLICATION FOR PARTICIPATION IN THE COMPETITION</w:t>
      </w:r>
    </w:p>
    <w:p w:rsidR="00484478" w:rsidRDefault="00503191" w:rsidP="00484478">
      <w:pPr>
        <w:ind w:left="1134"/>
        <w:jc w:val="center"/>
        <w:rPr>
          <w:rFonts w:cs="Times New Roman"/>
          <w:b/>
        </w:rPr>
      </w:pPr>
      <w:r w:rsidRPr="00503191">
        <w:rPr>
          <w:rFonts w:cs="Times New Roman"/>
          <w:b/>
          <w:lang w:val="en-US"/>
        </w:rPr>
        <w:t>Application for the right to conclude a contract of a bank deposit (deposit)</w:t>
      </w:r>
    </w:p>
    <w:p w:rsidR="00503191" w:rsidRPr="00503191" w:rsidRDefault="00503191" w:rsidP="00484478">
      <w:pPr>
        <w:ind w:left="1134"/>
        <w:jc w:val="center"/>
        <w:rPr>
          <w:rFonts w:cs="Times New Roman"/>
          <w:b/>
        </w:rPr>
      </w:pPr>
    </w:p>
    <w:p w:rsidR="00664D99" w:rsidRPr="007D2FCA" w:rsidRDefault="007D2FCA" w:rsidP="00664D99">
      <w:pPr>
        <w:ind w:left="142" w:right="141" w:firstLine="567"/>
        <w:jc w:val="both"/>
        <w:rPr>
          <w:rFonts w:cs="Times New Roman"/>
          <w:lang w:val="en-US"/>
        </w:rPr>
      </w:pPr>
      <w:r w:rsidRPr="007D2FCA">
        <w:rPr>
          <w:rFonts w:cs="Times New Roman"/>
          <w:lang w:val="en-US"/>
        </w:rPr>
        <w:t xml:space="preserve"> Having examined the tender documents for the right of conclusion of the contract of the Bank contribution (Deposit) with the non-profit organization "Fund of development of economy and direct investment of the Chukotka Autonomous Region" (hereinafter – the Fund) and applicable to this competition the legislation and internal normative documents of the Fund </w:t>
      </w:r>
      <w:r w:rsidR="00664D99" w:rsidRPr="007D2FCA">
        <w:rPr>
          <w:rFonts w:cs="Times New Roman"/>
          <w:lang w:val="en-US"/>
        </w:rPr>
        <w:t>_______________________</w:t>
      </w:r>
      <w:r w:rsidR="009B46AE" w:rsidRPr="007D2FCA">
        <w:rPr>
          <w:rFonts w:cs="Times New Roman"/>
          <w:lang w:val="en-US"/>
        </w:rPr>
        <w:t>____________________________________________</w:t>
      </w:r>
      <w:r w:rsidR="00664D99" w:rsidRPr="007D2FCA">
        <w:rPr>
          <w:rFonts w:cs="Times New Roman"/>
          <w:lang w:val="en-US"/>
        </w:rPr>
        <w:t>_______________</w:t>
      </w:r>
    </w:p>
    <w:p w:rsidR="00664D99" w:rsidRPr="007D2FCA" w:rsidRDefault="00664D99" w:rsidP="009B46AE">
      <w:pPr>
        <w:ind w:left="3540" w:right="141" w:firstLine="708"/>
        <w:jc w:val="both"/>
        <w:rPr>
          <w:rFonts w:cs="Times New Roman"/>
          <w:sz w:val="18"/>
          <w:szCs w:val="18"/>
          <w:lang w:val="en-US"/>
        </w:rPr>
      </w:pPr>
      <w:r w:rsidRPr="007D2FCA">
        <w:rPr>
          <w:rFonts w:cs="Times New Roman"/>
          <w:sz w:val="18"/>
          <w:szCs w:val="18"/>
          <w:lang w:val="en-US"/>
        </w:rPr>
        <w:t>(</w:t>
      </w:r>
      <w:proofErr w:type="gramStart"/>
      <w:r w:rsidR="007D2FCA" w:rsidRPr="007D2FCA">
        <w:rPr>
          <w:rFonts w:cs="Times New Roman"/>
          <w:sz w:val="18"/>
          <w:szCs w:val="18"/>
          <w:lang w:val="en-US"/>
        </w:rPr>
        <w:t>name</w:t>
      </w:r>
      <w:proofErr w:type="gramEnd"/>
      <w:r w:rsidR="007D2FCA" w:rsidRPr="007D2FCA">
        <w:rPr>
          <w:rFonts w:cs="Times New Roman"/>
          <w:sz w:val="18"/>
          <w:szCs w:val="18"/>
          <w:lang w:val="en-US"/>
        </w:rPr>
        <w:t xml:space="preserve"> of Applicant</w:t>
      </w:r>
      <w:r w:rsidRPr="007D2FCA">
        <w:rPr>
          <w:rFonts w:cs="Times New Roman"/>
          <w:sz w:val="18"/>
          <w:szCs w:val="18"/>
          <w:lang w:val="en-US"/>
        </w:rPr>
        <w:t>)</w:t>
      </w:r>
    </w:p>
    <w:p w:rsidR="00664D99" w:rsidRPr="007D2FCA" w:rsidRDefault="007D2FCA" w:rsidP="00664D99">
      <w:pPr>
        <w:ind w:left="142" w:right="141"/>
        <w:jc w:val="both"/>
        <w:rPr>
          <w:rFonts w:cs="Times New Roman"/>
          <w:lang w:val="en-US"/>
        </w:rPr>
      </w:pPr>
      <w:proofErr w:type="gramStart"/>
      <w:r w:rsidRPr="007D2FCA">
        <w:rPr>
          <w:rFonts w:cs="Times New Roman"/>
          <w:lang w:val="en-US"/>
        </w:rPr>
        <w:t>represented</w:t>
      </w:r>
      <w:proofErr w:type="gramEnd"/>
      <w:r w:rsidRPr="007D2FCA">
        <w:rPr>
          <w:rFonts w:cs="Times New Roman"/>
          <w:lang w:val="en-US"/>
        </w:rPr>
        <w:t xml:space="preserve"> by </w:t>
      </w:r>
      <w:r w:rsidR="00664D99" w:rsidRPr="007D2FCA">
        <w:rPr>
          <w:rFonts w:cs="Times New Roman"/>
          <w:lang w:val="en-US"/>
        </w:rPr>
        <w:t>____________________________________________________________________________,</w:t>
      </w:r>
    </w:p>
    <w:p w:rsidR="00664D99" w:rsidRPr="007D2FCA" w:rsidRDefault="00664D99" w:rsidP="00664D99">
      <w:pPr>
        <w:ind w:left="142" w:right="141" w:firstLine="567"/>
        <w:jc w:val="both"/>
        <w:rPr>
          <w:rFonts w:cs="Times New Roman"/>
          <w:sz w:val="18"/>
          <w:szCs w:val="18"/>
          <w:lang w:val="en-US"/>
        </w:rPr>
      </w:pPr>
      <w:r w:rsidRPr="007D2FCA">
        <w:rPr>
          <w:rFonts w:cs="Times New Roman"/>
          <w:lang w:val="en-US"/>
        </w:rPr>
        <w:t xml:space="preserve">              </w:t>
      </w:r>
      <w:r w:rsidRPr="007D2FCA">
        <w:rPr>
          <w:rFonts w:cs="Times New Roman"/>
          <w:sz w:val="18"/>
          <w:szCs w:val="18"/>
          <w:lang w:val="en-US"/>
        </w:rPr>
        <w:t>(</w:t>
      </w:r>
      <w:proofErr w:type="gramStart"/>
      <w:r w:rsidR="007D2FCA" w:rsidRPr="007D2FCA">
        <w:rPr>
          <w:rFonts w:cs="Times New Roman"/>
          <w:sz w:val="18"/>
          <w:szCs w:val="18"/>
          <w:lang w:val="en-US"/>
        </w:rPr>
        <w:t>job</w:t>
      </w:r>
      <w:proofErr w:type="gramEnd"/>
      <w:r w:rsidR="007D2FCA" w:rsidRPr="007D2FCA">
        <w:rPr>
          <w:rFonts w:cs="Times New Roman"/>
          <w:sz w:val="18"/>
          <w:szCs w:val="18"/>
          <w:lang w:val="en-US"/>
        </w:rPr>
        <w:t xml:space="preserve"> title, name of the Director or the authorized person</w:t>
      </w:r>
      <w:r w:rsidRPr="007D2FCA">
        <w:rPr>
          <w:rFonts w:cs="Times New Roman"/>
          <w:sz w:val="18"/>
          <w:szCs w:val="18"/>
          <w:lang w:val="en-US"/>
        </w:rPr>
        <w:t>)</w:t>
      </w:r>
    </w:p>
    <w:p w:rsidR="00664D99" w:rsidRPr="007D2FCA" w:rsidRDefault="007D2FCA" w:rsidP="00664D99">
      <w:pPr>
        <w:ind w:left="142" w:right="141"/>
        <w:jc w:val="both"/>
        <w:rPr>
          <w:rFonts w:cs="Times New Roman"/>
          <w:lang w:val="en-US"/>
        </w:rPr>
      </w:pPr>
      <w:proofErr w:type="gramStart"/>
      <w:r w:rsidRPr="007D2FCA">
        <w:rPr>
          <w:rFonts w:cs="Times New Roman"/>
          <w:lang w:val="en-US"/>
        </w:rPr>
        <w:t>acting</w:t>
      </w:r>
      <w:proofErr w:type="gramEnd"/>
      <w:r w:rsidRPr="007D2FCA">
        <w:rPr>
          <w:rFonts w:cs="Times New Roman"/>
          <w:lang w:val="en-US"/>
        </w:rPr>
        <w:t xml:space="preserve"> on the basis of </w:t>
      </w:r>
      <w:r w:rsidR="00664D99" w:rsidRPr="007D2FCA">
        <w:rPr>
          <w:rFonts w:cs="Times New Roman"/>
          <w:lang w:val="en-US"/>
        </w:rPr>
        <w:t xml:space="preserve">__________________________________________________________  </w:t>
      </w:r>
    </w:p>
    <w:p w:rsidR="00664D99" w:rsidRPr="007D2FCA" w:rsidRDefault="00664D99" w:rsidP="00664D99">
      <w:pPr>
        <w:ind w:left="3682" w:right="141" w:firstLine="566"/>
        <w:jc w:val="both"/>
        <w:rPr>
          <w:rFonts w:cs="Times New Roman"/>
          <w:sz w:val="18"/>
          <w:szCs w:val="18"/>
          <w:lang w:val="en-US"/>
        </w:rPr>
      </w:pPr>
      <w:r w:rsidRPr="007D2FCA">
        <w:rPr>
          <w:rFonts w:cs="Times New Roman"/>
          <w:sz w:val="18"/>
          <w:szCs w:val="18"/>
          <w:lang w:val="en-US"/>
        </w:rPr>
        <w:t>(</w:t>
      </w:r>
      <w:proofErr w:type="gramStart"/>
      <w:r w:rsidR="007D2FCA" w:rsidRPr="007D2FCA">
        <w:rPr>
          <w:rFonts w:cs="Times New Roman"/>
          <w:sz w:val="18"/>
          <w:szCs w:val="18"/>
          <w:lang w:val="en-US"/>
        </w:rPr>
        <w:t>name</w:t>
      </w:r>
      <w:proofErr w:type="gramEnd"/>
      <w:r w:rsidR="007D2FCA" w:rsidRPr="007D2FCA">
        <w:rPr>
          <w:rFonts w:cs="Times New Roman"/>
          <w:sz w:val="18"/>
          <w:szCs w:val="18"/>
          <w:lang w:val="en-US"/>
        </w:rPr>
        <w:t xml:space="preserve"> of constituent document or power of attorney</w:t>
      </w:r>
      <w:r w:rsidRPr="007D2FCA">
        <w:rPr>
          <w:rFonts w:cs="Times New Roman"/>
          <w:sz w:val="18"/>
          <w:szCs w:val="18"/>
          <w:lang w:val="en-US"/>
        </w:rPr>
        <w:t>)</w:t>
      </w:r>
    </w:p>
    <w:p w:rsidR="007D2FCA" w:rsidRDefault="007D2FCA" w:rsidP="00A934FF">
      <w:pPr>
        <w:pStyle w:val="a3"/>
        <w:ind w:left="142" w:right="141" w:firstLine="425"/>
        <w:jc w:val="both"/>
        <w:rPr>
          <w:rFonts w:cs="Times New Roman"/>
        </w:rPr>
      </w:pPr>
      <w:r w:rsidRPr="007D2FCA">
        <w:rPr>
          <w:rFonts w:cs="Times New Roman"/>
        </w:rPr>
        <w:t>(</w:t>
      </w:r>
      <w:proofErr w:type="spellStart"/>
      <w:r w:rsidRPr="007D2FCA">
        <w:rPr>
          <w:rFonts w:cs="Times New Roman"/>
        </w:rPr>
        <w:t>hereinafter</w:t>
      </w:r>
      <w:proofErr w:type="spellEnd"/>
      <w:r w:rsidRPr="007D2FCA">
        <w:rPr>
          <w:rFonts w:cs="Times New Roman"/>
        </w:rPr>
        <w:t xml:space="preserve"> –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Applicant</w:t>
      </w:r>
      <w:proofErr w:type="spellEnd"/>
      <w:r w:rsidRPr="007D2FCA">
        <w:rPr>
          <w:rFonts w:cs="Times New Roman"/>
        </w:rPr>
        <w:t xml:space="preserve">) </w:t>
      </w:r>
      <w:proofErr w:type="spellStart"/>
      <w:r w:rsidRPr="007D2FCA">
        <w:rPr>
          <w:rFonts w:cs="Times New Roman"/>
        </w:rPr>
        <w:t>announces</w:t>
      </w:r>
      <w:proofErr w:type="spellEnd"/>
      <w:r w:rsidRPr="007D2FCA">
        <w:rPr>
          <w:rFonts w:cs="Times New Roman"/>
        </w:rPr>
        <w:t xml:space="preserve"> </w:t>
      </w:r>
      <w:proofErr w:type="spellStart"/>
      <w:r w:rsidRPr="007D2FCA">
        <w:rPr>
          <w:rFonts w:cs="Times New Roman"/>
        </w:rPr>
        <w:t>agreement</w:t>
      </w:r>
      <w:proofErr w:type="spellEnd"/>
      <w:r w:rsidRPr="007D2FCA">
        <w:rPr>
          <w:rFonts w:cs="Times New Roman"/>
        </w:rPr>
        <w:t xml:space="preserve"> </w:t>
      </w:r>
      <w:proofErr w:type="spellStart"/>
      <w:r w:rsidRPr="007D2FCA">
        <w:rPr>
          <w:rFonts w:cs="Times New Roman"/>
        </w:rPr>
        <w:t>to</w:t>
      </w:r>
      <w:proofErr w:type="spellEnd"/>
      <w:r w:rsidRPr="007D2FCA">
        <w:rPr>
          <w:rFonts w:cs="Times New Roman"/>
        </w:rPr>
        <w:t xml:space="preserve"> </w:t>
      </w:r>
      <w:proofErr w:type="spellStart"/>
      <w:r w:rsidRPr="007D2FCA">
        <w:rPr>
          <w:rFonts w:cs="Times New Roman"/>
        </w:rPr>
        <w:t>participate</w:t>
      </w:r>
      <w:proofErr w:type="spellEnd"/>
      <w:r w:rsidRPr="007D2FCA">
        <w:rPr>
          <w:rFonts w:cs="Times New Roman"/>
        </w:rPr>
        <w:t xml:space="preserve"> </w:t>
      </w:r>
      <w:proofErr w:type="spellStart"/>
      <w:r w:rsidRPr="007D2FCA">
        <w:rPr>
          <w:rFonts w:cs="Times New Roman"/>
        </w:rPr>
        <w:t>in</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open</w:t>
      </w:r>
      <w:proofErr w:type="spellEnd"/>
      <w:r w:rsidRPr="007D2FCA">
        <w:rPr>
          <w:rFonts w:cs="Times New Roman"/>
        </w:rPr>
        <w:t xml:space="preserve"> </w:t>
      </w:r>
      <w:proofErr w:type="spellStart"/>
      <w:r w:rsidRPr="007D2FCA">
        <w:rPr>
          <w:rFonts w:cs="Times New Roman"/>
        </w:rPr>
        <w:t>competition</w:t>
      </w:r>
      <w:proofErr w:type="spellEnd"/>
      <w:r w:rsidRPr="007D2FCA">
        <w:rPr>
          <w:rFonts w:cs="Times New Roman"/>
        </w:rPr>
        <w:t xml:space="preserve"> </w:t>
      </w:r>
      <w:proofErr w:type="spellStart"/>
      <w:r w:rsidRPr="007D2FCA">
        <w:rPr>
          <w:rFonts w:cs="Times New Roman"/>
        </w:rPr>
        <w:t>under</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terms</w:t>
      </w:r>
      <w:proofErr w:type="spellEnd"/>
      <w:r w:rsidRPr="007D2FCA">
        <w:rPr>
          <w:rFonts w:cs="Times New Roman"/>
        </w:rPr>
        <w:t xml:space="preserve"> </w:t>
      </w:r>
      <w:proofErr w:type="spellStart"/>
      <w:r w:rsidRPr="007D2FCA">
        <w:rPr>
          <w:rFonts w:cs="Times New Roman"/>
        </w:rPr>
        <w:t>established</w:t>
      </w:r>
      <w:proofErr w:type="spellEnd"/>
      <w:r w:rsidRPr="007D2FCA">
        <w:rPr>
          <w:rFonts w:cs="Times New Roman"/>
        </w:rPr>
        <w:t xml:space="preserve"> </w:t>
      </w:r>
      <w:proofErr w:type="spellStart"/>
      <w:r w:rsidRPr="007D2FCA">
        <w:rPr>
          <w:rFonts w:cs="Times New Roman"/>
        </w:rPr>
        <w:t>in</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tender</w:t>
      </w:r>
      <w:proofErr w:type="spellEnd"/>
      <w:r w:rsidRPr="007D2FCA">
        <w:rPr>
          <w:rFonts w:cs="Times New Roman"/>
        </w:rPr>
        <w:t xml:space="preserve"> </w:t>
      </w:r>
      <w:proofErr w:type="spellStart"/>
      <w:r w:rsidRPr="007D2FCA">
        <w:rPr>
          <w:rFonts w:cs="Times New Roman"/>
        </w:rPr>
        <w:t>documentation</w:t>
      </w:r>
      <w:proofErr w:type="spellEnd"/>
      <w:r w:rsidRPr="007D2FCA">
        <w:rPr>
          <w:rFonts w:cs="Times New Roman"/>
        </w:rPr>
        <w:t xml:space="preserve">, </w:t>
      </w:r>
      <w:proofErr w:type="spellStart"/>
      <w:r w:rsidRPr="007D2FCA">
        <w:rPr>
          <w:rFonts w:cs="Times New Roman"/>
        </w:rPr>
        <w:t>and</w:t>
      </w:r>
      <w:proofErr w:type="spellEnd"/>
      <w:r w:rsidRPr="007D2FCA">
        <w:rPr>
          <w:rFonts w:cs="Times New Roman"/>
        </w:rPr>
        <w:t xml:space="preserve"> </w:t>
      </w:r>
      <w:proofErr w:type="spellStart"/>
      <w:r w:rsidRPr="007D2FCA">
        <w:rPr>
          <w:rFonts w:cs="Times New Roman"/>
        </w:rPr>
        <w:t>submits</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present</w:t>
      </w:r>
      <w:proofErr w:type="spellEnd"/>
      <w:r w:rsidRPr="007D2FCA">
        <w:rPr>
          <w:rFonts w:cs="Times New Roman"/>
        </w:rPr>
        <w:t xml:space="preserve"> </w:t>
      </w:r>
      <w:proofErr w:type="spellStart"/>
      <w:r w:rsidRPr="007D2FCA">
        <w:rPr>
          <w:rFonts w:cs="Times New Roman"/>
        </w:rPr>
        <w:t>application</w:t>
      </w:r>
      <w:proofErr w:type="spellEnd"/>
      <w:r w:rsidRPr="007D2FCA">
        <w:rPr>
          <w:rFonts w:cs="Times New Roman"/>
        </w:rPr>
        <w:t>.</w:t>
      </w:r>
    </w:p>
    <w:p w:rsidR="007D2FCA" w:rsidRDefault="007D2FCA" w:rsidP="00A934FF">
      <w:pPr>
        <w:pStyle w:val="a3"/>
        <w:ind w:left="142" w:right="141" w:firstLine="425"/>
        <w:jc w:val="both"/>
        <w:rPr>
          <w:rFonts w:cs="Times New Roman"/>
        </w:rPr>
      </w:pPr>
      <w:r w:rsidRPr="007D2FCA">
        <w:rPr>
          <w:rFonts w:cs="Times New Roman"/>
          <w:lang w:val="en-US"/>
        </w:rPr>
        <w:t>The Applicant agrees to provide services in accordance with the requirements of this tender documentation and on the conditions that are presented in this application for participation in the tender (in all annexes to this application for participation in the tender), as well as in other documents provided for in this bidding documentation.</w:t>
      </w:r>
    </w:p>
    <w:p w:rsidR="007D2FCA" w:rsidRDefault="007D2FCA" w:rsidP="00A934FF">
      <w:pPr>
        <w:pStyle w:val="a3"/>
        <w:ind w:left="142" w:right="141" w:firstLine="425"/>
        <w:jc w:val="both"/>
        <w:rPr>
          <w:rFonts w:cs="Times New Roman"/>
        </w:rPr>
      </w:pPr>
      <w:r w:rsidRPr="007D2FCA">
        <w:rPr>
          <w:rFonts w:cs="Times New Roman"/>
          <w:lang w:val="en-US"/>
        </w:rPr>
        <w:t xml:space="preserve">The applicant is acquainted with the conditions contained in the tender documentation and guarantees to render services in accordance with the requirements of the bidding documents.  </w:t>
      </w:r>
    </w:p>
    <w:p w:rsidR="007D2FCA" w:rsidRDefault="007D2FCA" w:rsidP="00A934FF">
      <w:pPr>
        <w:pStyle w:val="a3"/>
        <w:ind w:left="142" w:right="141" w:firstLine="425"/>
        <w:jc w:val="both"/>
        <w:rPr>
          <w:rFonts w:cs="Times New Roman"/>
        </w:rPr>
      </w:pPr>
      <w:r w:rsidRPr="007D2FCA">
        <w:rPr>
          <w:rFonts w:cs="Times New Roman"/>
          <w:lang w:val="en-US"/>
        </w:rPr>
        <w:t>In case of recognition of this application as the winner of the tender, the applicant guarantees to conclude a bank deposit (deposit) agreement with the Fund in full accordance with the conditions that are presented in our application for participation in the tender and in other documents provided for by this bidding documentation.</w:t>
      </w:r>
    </w:p>
    <w:p w:rsidR="007D2FCA" w:rsidRPr="007D2FCA" w:rsidRDefault="007D2FCA" w:rsidP="007D2FCA">
      <w:pPr>
        <w:pStyle w:val="a3"/>
        <w:ind w:left="142" w:right="141" w:firstLine="425"/>
        <w:jc w:val="both"/>
        <w:rPr>
          <w:rFonts w:cs="Times New Roman"/>
          <w:lang w:val="en-US"/>
        </w:rPr>
      </w:pPr>
      <w:r w:rsidRPr="007D2FCA">
        <w:rPr>
          <w:rFonts w:cs="Times New Roman"/>
          <w:lang w:val="en-US"/>
        </w:rPr>
        <w:t xml:space="preserve">The Applicant understands that: </w:t>
      </w:r>
    </w:p>
    <w:p w:rsidR="007D2FCA" w:rsidRPr="007D2FCA" w:rsidRDefault="007D2FCA" w:rsidP="007D2FCA">
      <w:pPr>
        <w:pStyle w:val="a3"/>
        <w:ind w:left="142" w:right="141" w:firstLine="425"/>
        <w:jc w:val="both"/>
        <w:rPr>
          <w:rFonts w:cs="Times New Roman"/>
          <w:lang w:val="en-US"/>
        </w:rPr>
      </w:pPr>
      <w:r w:rsidRPr="007D2FCA">
        <w:rPr>
          <w:rFonts w:cs="Times New Roman"/>
          <w:lang w:val="en-US"/>
        </w:rPr>
        <w:t xml:space="preserve">- </w:t>
      </w:r>
      <w:proofErr w:type="gramStart"/>
      <w:r w:rsidRPr="007D2FCA">
        <w:rPr>
          <w:rFonts w:cs="Times New Roman"/>
          <w:lang w:val="en-US"/>
        </w:rPr>
        <w:t>the</w:t>
      </w:r>
      <w:proofErr w:type="gramEnd"/>
      <w:r w:rsidRPr="007D2FCA">
        <w:rPr>
          <w:rFonts w:cs="Times New Roman"/>
          <w:lang w:val="en-US"/>
        </w:rPr>
        <w:t xml:space="preserve"> conclusion of an agreement for placing the Fund's funds in deposits (deposits) is mandatory for the winner of the tender;  </w:t>
      </w:r>
    </w:p>
    <w:p w:rsidR="007D2FCA" w:rsidRDefault="007D2FCA" w:rsidP="007D2FCA">
      <w:pPr>
        <w:pStyle w:val="a3"/>
        <w:ind w:left="142" w:right="141" w:firstLine="425"/>
        <w:jc w:val="both"/>
        <w:rPr>
          <w:rFonts w:cs="Times New Roman"/>
        </w:rPr>
      </w:pPr>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winner</w:t>
      </w:r>
      <w:proofErr w:type="spellEnd"/>
      <w:r w:rsidRPr="007D2FCA">
        <w:rPr>
          <w:rFonts w:cs="Times New Roman"/>
        </w:rPr>
        <w:t xml:space="preserve"> </w:t>
      </w:r>
      <w:proofErr w:type="spellStart"/>
      <w:r w:rsidRPr="007D2FCA">
        <w:rPr>
          <w:rFonts w:cs="Times New Roman"/>
        </w:rPr>
        <w:t>of</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tender</w:t>
      </w:r>
      <w:proofErr w:type="spellEnd"/>
      <w:r w:rsidRPr="007D2FCA">
        <w:rPr>
          <w:rFonts w:cs="Times New Roman"/>
        </w:rPr>
        <w:t xml:space="preserve"> </w:t>
      </w:r>
      <w:proofErr w:type="spellStart"/>
      <w:r w:rsidRPr="007D2FCA">
        <w:rPr>
          <w:rFonts w:cs="Times New Roman"/>
        </w:rPr>
        <w:t>has</w:t>
      </w:r>
      <w:proofErr w:type="spellEnd"/>
      <w:r w:rsidRPr="007D2FCA">
        <w:rPr>
          <w:rFonts w:cs="Times New Roman"/>
        </w:rPr>
        <w:t xml:space="preserve"> </w:t>
      </w:r>
      <w:proofErr w:type="spellStart"/>
      <w:r w:rsidRPr="007D2FCA">
        <w:rPr>
          <w:rFonts w:cs="Times New Roman"/>
        </w:rPr>
        <w:t>no</w:t>
      </w:r>
      <w:proofErr w:type="spellEnd"/>
      <w:r w:rsidRPr="007D2FCA">
        <w:rPr>
          <w:rFonts w:cs="Times New Roman"/>
        </w:rPr>
        <w:t xml:space="preserve"> </w:t>
      </w:r>
      <w:proofErr w:type="spellStart"/>
      <w:r w:rsidRPr="007D2FCA">
        <w:rPr>
          <w:rFonts w:cs="Times New Roman"/>
        </w:rPr>
        <w:t>right</w:t>
      </w:r>
      <w:proofErr w:type="spellEnd"/>
      <w:r w:rsidRPr="007D2FCA">
        <w:rPr>
          <w:rFonts w:cs="Times New Roman"/>
        </w:rPr>
        <w:t xml:space="preserve"> </w:t>
      </w:r>
      <w:proofErr w:type="spellStart"/>
      <w:r w:rsidRPr="007D2FCA">
        <w:rPr>
          <w:rFonts w:cs="Times New Roman"/>
        </w:rPr>
        <w:t>to</w:t>
      </w:r>
      <w:proofErr w:type="spellEnd"/>
      <w:r w:rsidRPr="007D2FCA">
        <w:rPr>
          <w:rFonts w:cs="Times New Roman"/>
        </w:rPr>
        <w:t xml:space="preserve"> </w:t>
      </w:r>
      <w:proofErr w:type="spellStart"/>
      <w:r w:rsidRPr="007D2FCA">
        <w:rPr>
          <w:rFonts w:cs="Times New Roman"/>
        </w:rPr>
        <w:t>refuse</w:t>
      </w:r>
      <w:proofErr w:type="spellEnd"/>
      <w:r w:rsidRPr="007D2FCA">
        <w:rPr>
          <w:rFonts w:cs="Times New Roman"/>
        </w:rPr>
        <w:t xml:space="preserve"> </w:t>
      </w:r>
      <w:proofErr w:type="spellStart"/>
      <w:r w:rsidRPr="007D2FCA">
        <w:rPr>
          <w:rFonts w:cs="Times New Roman"/>
        </w:rPr>
        <w:t>to</w:t>
      </w:r>
      <w:proofErr w:type="spellEnd"/>
      <w:r w:rsidRPr="007D2FCA">
        <w:rPr>
          <w:rFonts w:cs="Times New Roman"/>
        </w:rPr>
        <w:t xml:space="preserve"> </w:t>
      </w:r>
      <w:proofErr w:type="spellStart"/>
      <w:r w:rsidRPr="007D2FCA">
        <w:rPr>
          <w:rFonts w:cs="Times New Roman"/>
        </w:rPr>
        <w:t>conclude</w:t>
      </w:r>
      <w:proofErr w:type="spellEnd"/>
      <w:r w:rsidRPr="007D2FCA">
        <w:rPr>
          <w:rFonts w:cs="Times New Roman"/>
        </w:rPr>
        <w:t xml:space="preserve"> a </w:t>
      </w:r>
      <w:proofErr w:type="spellStart"/>
      <w:r w:rsidRPr="007D2FCA">
        <w:rPr>
          <w:rFonts w:cs="Times New Roman"/>
        </w:rPr>
        <w:t>contract</w:t>
      </w:r>
      <w:proofErr w:type="spellEnd"/>
      <w:r w:rsidRPr="007D2FCA">
        <w:rPr>
          <w:rFonts w:cs="Times New Roman"/>
        </w:rPr>
        <w:t xml:space="preserve"> </w:t>
      </w:r>
      <w:proofErr w:type="spellStart"/>
      <w:r w:rsidRPr="007D2FCA">
        <w:rPr>
          <w:rFonts w:cs="Times New Roman"/>
        </w:rPr>
        <w:t>of</w:t>
      </w:r>
      <w:proofErr w:type="spellEnd"/>
      <w:r w:rsidRPr="007D2FCA">
        <w:rPr>
          <w:rFonts w:cs="Times New Roman"/>
        </w:rPr>
        <w:t xml:space="preserve"> a </w:t>
      </w:r>
      <w:proofErr w:type="spellStart"/>
      <w:r w:rsidRPr="007D2FCA">
        <w:rPr>
          <w:rFonts w:cs="Times New Roman"/>
        </w:rPr>
        <w:t>bank</w:t>
      </w:r>
      <w:proofErr w:type="spellEnd"/>
      <w:r w:rsidRPr="007D2FCA">
        <w:rPr>
          <w:rFonts w:cs="Times New Roman"/>
        </w:rPr>
        <w:t xml:space="preserve"> </w:t>
      </w:r>
      <w:proofErr w:type="spellStart"/>
      <w:r w:rsidRPr="007D2FCA">
        <w:rPr>
          <w:rFonts w:cs="Times New Roman"/>
        </w:rPr>
        <w:t>deposit</w:t>
      </w:r>
      <w:proofErr w:type="spellEnd"/>
      <w:r w:rsidRPr="007D2FCA">
        <w:rPr>
          <w:rFonts w:cs="Times New Roman"/>
        </w:rPr>
        <w:t xml:space="preserve"> (</w:t>
      </w:r>
      <w:proofErr w:type="spellStart"/>
      <w:r w:rsidRPr="007D2FCA">
        <w:rPr>
          <w:rFonts w:cs="Times New Roman"/>
        </w:rPr>
        <w:t>deposit</w:t>
      </w:r>
      <w:proofErr w:type="spellEnd"/>
      <w:r w:rsidRPr="007D2FCA">
        <w:rPr>
          <w:rFonts w:cs="Times New Roman"/>
        </w:rPr>
        <w:t xml:space="preserve">) </w:t>
      </w:r>
      <w:proofErr w:type="spellStart"/>
      <w:r w:rsidRPr="007D2FCA">
        <w:rPr>
          <w:rFonts w:cs="Times New Roman"/>
        </w:rPr>
        <w:t>on</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placement</w:t>
      </w:r>
      <w:proofErr w:type="spellEnd"/>
      <w:r w:rsidRPr="007D2FCA">
        <w:rPr>
          <w:rFonts w:cs="Times New Roman"/>
        </w:rPr>
        <w:t xml:space="preserve"> </w:t>
      </w:r>
      <w:proofErr w:type="spellStart"/>
      <w:r w:rsidRPr="007D2FCA">
        <w:rPr>
          <w:rFonts w:cs="Times New Roman"/>
        </w:rPr>
        <w:t>of</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Fund's</w:t>
      </w:r>
      <w:proofErr w:type="spellEnd"/>
      <w:r w:rsidRPr="007D2FCA">
        <w:rPr>
          <w:rFonts w:cs="Times New Roman"/>
        </w:rPr>
        <w:t xml:space="preserve"> </w:t>
      </w:r>
      <w:proofErr w:type="spellStart"/>
      <w:r w:rsidRPr="007D2FCA">
        <w:rPr>
          <w:rFonts w:cs="Times New Roman"/>
        </w:rPr>
        <w:t>funds</w:t>
      </w:r>
      <w:proofErr w:type="spellEnd"/>
      <w:r w:rsidRPr="007D2FCA">
        <w:rPr>
          <w:rFonts w:cs="Times New Roman"/>
        </w:rPr>
        <w:t xml:space="preserve"> </w:t>
      </w:r>
      <w:proofErr w:type="spellStart"/>
      <w:r w:rsidRPr="007D2FCA">
        <w:rPr>
          <w:rFonts w:cs="Times New Roman"/>
        </w:rPr>
        <w:t>on</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terms</w:t>
      </w:r>
      <w:proofErr w:type="spellEnd"/>
      <w:r w:rsidRPr="007D2FCA">
        <w:rPr>
          <w:rFonts w:cs="Times New Roman"/>
        </w:rPr>
        <w:t xml:space="preserve"> </w:t>
      </w:r>
      <w:proofErr w:type="spellStart"/>
      <w:r w:rsidRPr="007D2FCA">
        <w:rPr>
          <w:rFonts w:cs="Times New Roman"/>
        </w:rPr>
        <w:t>and</w:t>
      </w:r>
      <w:proofErr w:type="spellEnd"/>
      <w:r w:rsidRPr="007D2FCA">
        <w:rPr>
          <w:rFonts w:cs="Times New Roman"/>
        </w:rPr>
        <w:t xml:space="preserve"> </w:t>
      </w:r>
      <w:proofErr w:type="spellStart"/>
      <w:r w:rsidRPr="007D2FCA">
        <w:rPr>
          <w:rFonts w:cs="Times New Roman"/>
        </w:rPr>
        <w:t>conditions</w:t>
      </w:r>
      <w:proofErr w:type="spellEnd"/>
      <w:r w:rsidRPr="007D2FCA">
        <w:rPr>
          <w:rFonts w:cs="Times New Roman"/>
        </w:rPr>
        <w:t xml:space="preserve"> </w:t>
      </w:r>
      <w:proofErr w:type="spellStart"/>
      <w:r w:rsidRPr="007D2FCA">
        <w:rPr>
          <w:rFonts w:cs="Times New Roman"/>
        </w:rPr>
        <w:t>proposed</w:t>
      </w:r>
      <w:proofErr w:type="spellEnd"/>
      <w:r w:rsidRPr="007D2FCA">
        <w:rPr>
          <w:rFonts w:cs="Times New Roman"/>
        </w:rPr>
        <w:t xml:space="preserve"> </w:t>
      </w:r>
      <w:proofErr w:type="spellStart"/>
      <w:r w:rsidRPr="007D2FCA">
        <w:rPr>
          <w:rFonts w:cs="Times New Roman"/>
        </w:rPr>
        <w:t>by</w:t>
      </w:r>
      <w:proofErr w:type="spellEnd"/>
      <w:r w:rsidRPr="007D2FCA">
        <w:rPr>
          <w:rFonts w:cs="Times New Roman"/>
        </w:rPr>
        <w:t xml:space="preserve"> </w:t>
      </w:r>
      <w:proofErr w:type="spellStart"/>
      <w:r w:rsidRPr="007D2FCA">
        <w:rPr>
          <w:rFonts w:cs="Times New Roman"/>
        </w:rPr>
        <w:t>him</w:t>
      </w:r>
      <w:proofErr w:type="spellEnd"/>
      <w:r w:rsidRPr="007D2FCA">
        <w:rPr>
          <w:rFonts w:cs="Times New Roman"/>
        </w:rPr>
        <w:t xml:space="preserve"> </w:t>
      </w:r>
      <w:proofErr w:type="spellStart"/>
      <w:r w:rsidRPr="007D2FCA">
        <w:rPr>
          <w:rFonts w:cs="Times New Roman"/>
        </w:rPr>
        <w:t>in</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application</w:t>
      </w:r>
      <w:proofErr w:type="spellEnd"/>
      <w:r w:rsidRPr="007D2FCA">
        <w:rPr>
          <w:rFonts w:cs="Times New Roman"/>
        </w:rPr>
        <w:t xml:space="preserve"> </w:t>
      </w:r>
      <w:proofErr w:type="spellStart"/>
      <w:r w:rsidRPr="007D2FCA">
        <w:rPr>
          <w:rFonts w:cs="Times New Roman"/>
        </w:rPr>
        <w:t>for</w:t>
      </w:r>
      <w:proofErr w:type="spellEnd"/>
      <w:r w:rsidRPr="007D2FCA">
        <w:rPr>
          <w:rFonts w:cs="Times New Roman"/>
        </w:rPr>
        <w:t xml:space="preserve"> </w:t>
      </w:r>
      <w:proofErr w:type="spellStart"/>
      <w:r w:rsidRPr="007D2FCA">
        <w:rPr>
          <w:rFonts w:cs="Times New Roman"/>
        </w:rPr>
        <w:t>participation</w:t>
      </w:r>
      <w:proofErr w:type="spellEnd"/>
      <w:r w:rsidRPr="007D2FCA">
        <w:rPr>
          <w:rFonts w:cs="Times New Roman"/>
        </w:rPr>
        <w:t xml:space="preserve"> </w:t>
      </w:r>
      <w:proofErr w:type="spellStart"/>
      <w:r w:rsidRPr="007D2FCA">
        <w:rPr>
          <w:rFonts w:cs="Times New Roman"/>
        </w:rPr>
        <w:t>in</w:t>
      </w:r>
      <w:proofErr w:type="spellEnd"/>
      <w:r w:rsidRPr="007D2FCA">
        <w:rPr>
          <w:rFonts w:cs="Times New Roman"/>
        </w:rPr>
        <w:t xml:space="preserve"> </w:t>
      </w:r>
      <w:proofErr w:type="spellStart"/>
      <w:r w:rsidRPr="007D2FCA">
        <w:rPr>
          <w:rFonts w:cs="Times New Roman"/>
        </w:rPr>
        <w:t>the</w:t>
      </w:r>
      <w:proofErr w:type="spellEnd"/>
      <w:r w:rsidRPr="007D2FCA">
        <w:rPr>
          <w:rFonts w:cs="Times New Roman"/>
        </w:rPr>
        <w:t xml:space="preserve"> </w:t>
      </w:r>
      <w:proofErr w:type="spellStart"/>
      <w:r w:rsidRPr="007D2FCA">
        <w:rPr>
          <w:rFonts w:cs="Times New Roman"/>
        </w:rPr>
        <w:t>tender</w:t>
      </w:r>
      <w:proofErr w:type="spellEnd"/>
      <w:r w:rsidRPr="007D2FCA">
        <w:rPr>
          <w:rFonts w:cs="Times New Roman"/>
        </w:rPr>
        <w:t>.</w:t>
      </w:r>
    </w:p>
    <w:p w:rsidR="007D2FCA" w:rsidRDefault="007D2FCA" w:rsidP="00A934FF">
      <w:pPr>
        <w:pStyle w:val="a3"/>
        <w:ind w:left="142" w:right="141" w:firstLine="425"/>
        <w:jc w:val="both"/>
        <w:rPr>
          <w:rFonts w:cs="Times New Roman"/>
        </w:rPr>
      </w:pPr>
      <w:r w:rsidRPr="007D2FCA">
        <w:rPr>
          <w:rFonts w:cs="Times New Roman"/>
          <w:lang w:val="en-US"/>
        </w:rPr>
        <w:t xml:space="preserve">The applicant agrees that in the event that he did not take into account any types of services that make up the full range of services to be provided in accordance with the subject of the tender and this tender documentation, these services will in any case be rendered in full compliance with the present competitive documentation.  </w:t>
      </w:r>
    </w:p>
    <w:p w:rsidR="00A934FF" w:rsidRPr="007D2FCA" w:rsidRDefault="007D2FCA" w:rsidP="00A934FF">
      <w:pPr>
        <w:pStyle w:val="a3"/>
        <w:ind w:left="142" w:right="141" w:firstLine="425"/>
        <w:jc w:val="both"/>
        <w:rPr>
          <w:rFonts w:cs="Times New Roman"/>
          <w:lang w:val="en-US"/>
        </w:rPr>
      </w:pPr>
      <w:r w:rsidRPr="007D2FCA">
        <w:rPr>
          <w:rFonts w:cs="Times New Roman"/>
          <w:lang w:val="en-US"/>
        </w:rPr>
        <w:t>Hereby the applicant guarantees the authenticity of the information provided in the application and confirms the right of the competitive commission that does not contradict the requirement of forming equal for all participants of the tender conditions:</w:t>
      </w:r>
    </w:p>
    <w:p w:rsidR="007D2FCA" w:rsidRPr="007D2FCA" w:rsidRDefault="007D2FCA" w:rsidP="007D2FCA">
      <w:pPr>
        <w:pStyle w:val="a3"/>
        <w:ind w:left="142" w:right="141" w:firstLine="425"/>
        <w:jc w:val="both"/>
        <w:rPr>
          <w:rFonts w:cs="Times New Roman"/>
          <w:lang w:val="en-US"/>
        </w:rPr>
      </w:pPr>
      <w:r w:rsidRPr="007D2FCA">
        <w:rPr>
          <w:rFonts w:cs="Times New Roman"/>
          <w:lang w:val="en-US"/>
        </w:rPr>
        <w:t xml:space="preserve">- </w:t>
      </w:r>
      <w:proofErr w:type="gramStart"/>
      <w:r w:rsidRPr="007D2FCA">
        <w:rPr>
          <w:rFonts w:cs="Times New Roman"/>
          <w:lang w:val="en-US"/>
        </w:rPr>
        <w:t>request</w:t>
      </w:r>
      <w:proofErr w:type="gramEnd"/>
      <w:r w:rsidRPr="007D2FCA">
        <w:rPr>
          <w:rFonts w:cs="Times New Roman"/>
          <w:lang w:val="en-US"/>
        </w:rPr>
        <w:t xml:space="preserve"> information from the authorized authorities and from the legal entities and individuals mentioned in this application specifying the information submitted by the applicant;  </w:t>
      </w:r>
    </w:p>
    <w:p w:rsidR="00484478" w:rsidRPr="007D2FCA" w:rsidRDefault="007D2FCA" w:rsidP="007D2FCA">
      <w:pPr>
        <w:pStyle w:val="a3"/>
        <w:ind w:left="142" w:right="141" w:firstLine="425"/>
        <w:jc w:val="both"/>
        <w:rPr>
          <w:rFonts w:cs="Times New Roman"/>
          <w:lang w:val="en-US"/>
        </w:rPr>
      </w:pPr>
      <w:r w:rsidRPr="007D2FCA">
        <w:rPr>
          <w:rFonts w:cs="Times New Roman"/>
          <w:lang w:val="en-US"/>
        </w:rPr>
        <w:t>- require the applicant to submit a written explanation of the provisions contained in the submitted documents as part of the application for participation in the tender in the time specified in this tender documentation.</w:t>
      </w:r>
      <w:r w:rsidR="00B43C0A" w:rsidRPr="007D2FCA">
        <w:rPr>
          <w:rFonts w:cs="Times New Roman"/>
          <w:lang w:val="en-US"/>
        </w:rPr>
        <w:t xml:space="preserve">                                                      </w:t>
      </w:r>
    </w:p>
    <w:p w:rsidR="00A4557D" w:rsidRPr="007D2FCA" w:rsidRDefault="007D2FCA" w:rsidP="00A934FF">
      <w:pPr>
        <w:ind w:left="142" w:right="141" w:firstLine="425"/>
        <w:jc w:val="both"/>
        <w:rPr>
          <w:rFonts w:cs="Times New Roman"/>
          <w:lang w:val="en-US"/>
        </w:rPr>
      </w:pPr>
      <w:r w:rsidRPr="007D2FCA">
        <w:rPr>
          <w:rFonts w:cs="Times New Roman"/>
          <w:lang w:val="en-US"/>
        </w:rPr>
        <w:t xml:space="preserve">The present application </w:t>
      </w:r>
      <w:r w:rsidR="00A4557D" w:rsidRPr="007D2FCA">
        <w:rPr>
          <w:rFonts w:cs="Times New Roman"/>
          <w:lang w:val="en-US"/>
        </w:rPr>
        <w:t>____</w:t>
      </w:r>
      <w:r w:rsidR="00651018" w:rsidRPr="007D2FCA">
        <w:rPr>
          <w:rFonts w:cs="Times New Roman"/>
          <w:lang w:val="en-US"/>
        </w:rPr>
        <w:t>__________</w:t>
      </w:r>
      <w:r w:rsidR="00A4557D" w:rsidRPr="007D2FCA">
        <w:rPr>
          <w:rFonts w:cs="Times New Roman"/>
          <w:lang w:val="en-US"/>
        </w:rPr>
        <w:t>_____________________________________________</w:t>
      </w:r>
    </w:p>
    <w:p w:rsidR="00A4557D" w:rsidRPr="007D2FCA" w:rsidRDefault="00A4557D" w:rsidP="007443EE">
      <w:pPr>
        <w:ind w:left="2974" w:right="141" w:firstLine="566"/>
        <w:jc w:val="both"/>
        <w:rPr>
          <w:rFonts w:cs="Times New Roman"/>
          <w:sz w:val="18"/>
          <w:szCs w:val="18"/>
          <w:lang w:val="en-US"/>
        </w:rPr>
      </w:pPr>
      <w:r w:rsidRPr="007D2FCA">
        <w:rPr>
          <w:rFonts w:cs="Times New Roman"/>
          <w:sz w:val="18"/>
          <w:szCs w:val="18"/>
          <w:lang w:val="en-US"/>
        </w:rPr>
        <w:t>(</w:t>
      </w:r>
      <w:proofErr w:type="gramStart"/>
      <w:r w:rsidR="007D2FCA" w:rsidRPr="007D2FCA">
        <w:rPr>
          <w:rFonts w:cs="Times New Roman"/>
          <w:sz w:val="18"/>
          <w:szCs w:val="18"/>
          <w:lang w:val="en-US"/>
        </w:rPr>
        <w:t>the</w:t>
      </w:r>
      <w:proofErr w:type="gramEnd"/>
      <w:r w:rsidR="007D2FCA" w:rsidRPr="007D2FCA">
        <w:rPr>
          <w:rFonts w:cs="Times New Roman"/>
          <w:sz w:val="18"/>
          <w:szCs w:val="18"/>
          <w:lang w:val="en-US"/>
        </w:rPr>
        <w:t xml:space="preserve"> full name of the Applicant</w:t>
      </w:r>
      <w:r w:rsidRPr="007D2FCA">
        <w:rPr>
          <w:rFonts w:cs="Times New Roman"/>
          <w:sz w:val="18"/>
          <w:szCs w:val="18"/>
          <w:lang w:val="en-US"/>
        </w:rPr>
        <w:t>)</w:t>
      </w:r>
    </w:p>
    <w:p w:rsidR="00A4557D" w:rsidRPr="007D2FCA" w:rsidRDefault="007D2FCA" w:rsidP="007443EE">
      <w:pPr>
        <w:ind w:left="142" w:right="141"/>
        <w:jc w:val="both"/>
        <w:rPr>
          <w:rFonts w:cs="Times New Roman"/>
          <w:lang w:val="en-US"/>
        </w:rPr>
      </w:pPr>
      <w:proofErr w:type="gramStart"/>
      <w:r w:rsidRPr="007D2FCA">
        <w:rPr>
          <w:rFonts w:cs="Times New Roman"/>
          <w:lang w:val="en-US"/>
        </w:rPr>
        <w:lastRenderedPageBreak/>
        <w:t>confirms</w:t>
      </w:r>
      <w:proofErr w:type="gramEnd"/>
      <w:r w:rsidRPr="007D2FCA">
        <w:rPr>
          <w:rFonts w:cs="Times New Roman"/>
          <w:lang w:val="en-US"/>
        </w:rPr>
        <w:t xml:space="preserve"> its compliance with the following requirements (indicate indicators for each criterion of conformity):</w:t>
      </w:r>
    </w:p>
    <w:tbl>
      <w:tblPr>
        <w:tblStyle w:val="ac"/>
        <w:tblW w:w="0" w:type="auto"/>
        <w:tblLayout w:type="fixed"/>
        <w:tblLook w:val="04A0" w:firstRow="1" w:lastRow="0" w:firstColumn="1" w:lastColumn="0" w:noHBand="0" w:noVBand="1"/>
      </w:tblPr>
      <w:tblGrid>
        <w:gridCol w:w="703"/>
        <w:gridCol w:w="7627"/>
        <w:gridCol w:w="1866"/>
      </w:tblGrid>
      <w:tr w:rsidR="00E35A4A" w:rsidRPr="00E35A4A" w:rsidTr="007D2FCA">
        <w:trPr>
          <w:trHeight w:val="492"/>
        </w:trPr>
        <w:tc>
          <w:tcPr>
            <w:tcW w:w="703" w:type="dxa"/>
            <w:hideMark/>
          </w:tcPr>
          <w:p w:rsidR="00E35A4A" w:rsidRPr="00E35A4A" w:rsidRDefault="007D2FCA" w:rsidP="00E35A4A">
            <w:pPr>
              <w:jc w:val="center"/>
              <w:rPr>
                <w:b/>
                <w:sz w:val="18"/>
                <w:szCs w:val="18"/>
              </w:rPr>
            </w:pPr>
            <w:r>
              <w:rPr>
                <w:b/>
                <w:sz w:val="18"/>
                <w:szCs w:val="18"/>
              </w:rPr>
              <w:t>№</w:t>
            </w:r>
          </w:p>
        </w:tc>
        <w:tc>
          <w:tcPr>
            <w:tcW w:w="7627" w:type="dxa"/>
            <w:hideMark/>
          </w:tcPr>
          <w:p w:rsidR="00E35A4A" w:rsidRPr="00E35A4A" w:rsidRDefault="007D2FCA" w:rsidP="00E35A4A">
            <w:pPr>
              <w:jc w:val="center"/>
              <w:rPr>
                <w:b/>
                <w:sz w:val="18"/>
                <w:szCs w:val="18"/>
              </w:rPr>
            </w:pPr>
            <w:proofErr w:type="spellStart"/>
            <w:r w:rsidRPr="007D2FCA">
              <w:rPr>
                <w:b/>
                <w:sz w:val="18"/>
                <w:szCs w:val="18"/>
              </w:rPr>
              <w:t>Criterion</w:t>
            </w:r>
            <w:proofErr w:type="spellEnd"/>
          </w:p>
        </w:tc>
        <w:tc>
          <w:tcPr>
            <w:tcW w:w="1866" w:type="dxa"/>
            <w:hideMark/>
          </w:tcPr>
          <w:p w:rsidR="00E35A4A" w:rsidRPr="00E35A4A" w:rsidRDefault="007D2FCA" w:rsidP="00E35A4A">
            <w:pPr>
              <w:jc w:val="center"/>
              <w:rPr>
                <w:b/>
                <w:sz w:val="18"/>
                <w:szCs w:val="18"/>
              </w:rPr>
            </w:pPr>
            <w:proofErr w:type="spellStart"/>
            <w:r w:rsidRPr="007D2FCA">
              <w:rPr>
                <w:b/>
                <w:sz w:val="18"/>
                <w:szCs w:val="18"/>
              </w:rPr>
              <w:t>Correspondence</w:t>
            </w:r>
            <w:proofErr w:type="spellEnd"/>
            <w:r w:rsidRPr="007D2FCA">
              <w:rPr>
                <w:b/>
                <w:sz w:val="18"/>
                <w:szCs w:val="18"/>
              </w:rPr>
              <w:t xml:space="preserve"> / </w:t>
            </w:r>
            <w:proofErr w:type="spellStart"/>
            <w:r w:rsidRPr="007D2FCA">
              <w:rPr>
                <w:b/>
                <w:sz w:val="18"/>
                <w:szCs w:val="18"/>
              </w:rPr>
              <w:t>non-correspondence</w:t>
            </w:r>
            <w:proofErr w:type="spellEnd"/>
          </w:p>
        </w:tc>
      </w:tr>
      <w:tr w:rsidR="00E35A4A" w:rsidRPr="007D2FCA" w:rsidTr="007D2FCA">
        <w:trPr>
          <w:trHeight w:val="576"/>
        </w:trPr>
        <w:tc>
          <w:tcPr>
            <w:tcW w:w="703" w:type="dxa"/>
            <w:noWrap/>
            <w:hideMark/>
          </w:tcPr>
          <w:p w:rsidR="00E35A4A" w:rsidRPr="008C2168" w:rsidRDefault="00E35A4A" w:rsidP="00E35A4A">
            <w:r w:rsidRPr="008C2168">
              <w:t>1</w:t>
            </w:r>
          </w:p>
        </w:tc>
        <w:tc>
          <w:tcPr>
            <w:tcW w:w="7627" w:type="dxa"/>
          </w:tcPr>
          <w:p w:rsidR="00E35A4A" w:rsidRPr="007D2FCA" w:rsidRDefault="007D2FCA" w:rsidP="00E35A4A">
            <w:pPr>
              <w:rPr>
                <w:lang w:val="en-US"/>
              </w:rPr>
            </w:pPr>
            <w:r w:rsidRPr="007D2FCA">
              <w:rPr>
                <w:lang w:val="en-US"/>
              </w:rPr>
              <w:t>The credit organization has a general license of the Central Bank of the Russian Federation for banking operations</w:t>
            </w:r>
          </w:p>
        </w:tc>
        <w:tc>
          <w:tcPr>
            <w:tcW w:w="1866" w:type="dxa"/>
            <w:noWrap/>
            <w:hideMark/>
          </w:tcPr>
          <w:p w:rsidR="00E35A4A" w:rsidRPr="007D2FCA" w:rsidRDefault="00E35A4A" w:rsidP="00E35A4A">
            <w:pPr>
              <w:rPr>
                <w:lang w:val="en-US"/>
              </w:rPr>
            </w:pPr>
          </w:p>
        </w:tc>
      </w:tr>
      <w:tr w:rsidR="00E35A4A" w:rsidRPr="007D2FCA" w:rsidTr="007D2FCA">
        <w:trPr>
          <w:trHeight w:val="576"/>
        </w:trPr>
        <w:tc>
          <w:tcPr>
            <w:tcW w:w="703" w:type="dxa"/>
            <w:noWrap/>
            <w:hideMark/>
          </w:tcPr>
          <w:p w:rsidR="00E35A4A" w:rsidRPr="008C2168" w:rsidRDefault="00E35A4A" w:rsidP="00E35A4A">
            <w:r w:rsidRPr="008C2168">
              <w:t>2</w:t>
            </w:r>
          </w:p>
        </w:tc>
        <w:tc>
          <w:tcPr>
            <w:tcW w:w="7627" w:type="dxa"/>
          </w:tcPr>
          <w:p w:rsidR="00E35A4A" w:rsidRPr="007D2FCA" w:rsidRDefault="007D2FCA" w:rsidP="00E35A4A">
            <w:pPr>
              <w:rPr>
                <w:lang w:val="en-US"/>
              </w:rPr>
            </w:pPr>
            <w:r w:rsidRPr="007D2FCA">
              <w:rPr>
                <w:lang w:val="en-US"/>
              </w:rPr>
              <w:t>The credit organization has its own funds (capital) in the amount of not less than 50 billion rubles according to the Central Bank of the Russian Federation published on the official website www.cbr.ru in  Network "Internet" in accordance with Article 57 of the Law on the Bank of Russia</w:t>
            </w:r>
          </w:p>
        </w:tc>
        <w:tc>
          <w:tcPr>
            <w:tcW w:w="1866" w:type="dxa"/>
            <w:noWrap/>
            <w:hideMark/>
          </w:tcPr>
          <w:p w:rsidR="00E35A4A" w:rsidRPr="007D2FCA" w:rsidRDefault="00E35A4A" w:rsidP="00E35A4A">
            <w:pPr>
              <w:rPr>
                <w:lang w:val="en-US"/>
              </w:rPr>
            </w:pPr>
          </w:p>
        </w:tc>
      </w:tr>
      <w:tr w:rsidR="00E35A4A" w:rsidRPr="007D2FCA" w:rsidTr="007D2FCA">
        <w:trPr>
          <w:trHeight w:val="1152"/>
        </w:trPr>
        <w:tc>
          <w:tcPr>
            <w:tcW w:w="703" w:type="dxa"/>
            <w:noWrap/>
            <w:hideMark/>
          </w:tcPr>
          <w:p w:rsidR="00E35A4A" w:rsidRPr="008C2168" w:rsidRDefault="00E35A4A" w:rsidP="00E35A4A">
            <w:r w:rsidRPr="008C2168">
              <w:t>3</w:t>
            </w:r>
          </w:p>
        </w:tc>
        <w:tc>
          <w:tcPr>
            <w:tcW w:w="7627" w:type="dxa"/>
          </w:tcPr>
          <w:p w:rsidR="00E35A4A" w:rsidRPr="007D2FCA" w:rsidRDefault="007D2FCA" w:rsidP="00E35A4A">
            <w:pPr>
              <w:rPr>
                <w:lang w:val="en-US"/>
              </w:rPr>
            </w:pPr>
            <w:r w:rsidRPr="007D2FCA">
              <w:rPr>
                <w:lang w:val="en-US"/>
              </w:rPr>
              <w:t>The existence of a long-term credit rating by the credit organization according to the classification of the rating agencies "Fitch Ratings"  Or "Standard &amp; Poor's" (not lower than "BB") or "Moody's Investors Service" is not lower than "</w:t>
            </w:r>
            <w:proofErr w:type="spellStart"/>
            <w:r w:rsidRPr="007D2FCA">
              <w:t>Ва</w:t>
            </w:r>
            <w:proofErr w:type="spellEnd"/>
            <w:r w:rsidRPr="007D2FCA">
              <w:rPr>
                <w:lang w:val="en-US"/>
              </w:rPr>
              <w:t>3"</w:t>
            </w:r>
          </w:p>
        </w:tc>
        <w:tc>
          <w:tcPr>
            <w:tcW w:w="1866" w:type="dxa"/>
            <w:noWrap/>
            <w:hideMark/>
          </w:tcPr>
          <w:p w:rsidR="00E35A4A" w:rsidRPr="007D2FCA" w:rsidRDefault="00E35A4A" w:rsidP="00E35A4A">
            <w:pPr>
              <w:rPr>
                <w:lang w:val="en-US"/>
              </w:rPr>
            </w:pPr>
          </w:p>
        </w:tc>
      </w:tr>
      <w:tr w:rsidR="00E35A4A" w:rsidRPr="007D2FCA" w:rsidTr="007D2FCA">
        <w:trPr>
          <w:trHeight w:val="625"/>
        </w:trPr>
        <w:tc>
          <w:tcPr>
            <w:tcW w:w="703" w:type="dxa"/>
            <w:noWrap/>
            <w:hideMark/>
          </w:tcPr>
          <w:p w:rsidR="00E35A4A" w:rsidRPr="008C2168" w:rsidRDefault="00E35A4A" w:rsidP="00E35A4A">
            <w:r w:rsidRPr="008C2168">
              <w:t>4</w:t>
            </w:r>
          </w:p>
        </w:tc>
        <w:tc>
          <w:tcPr>
            <w:tcW w:w="7627" w:type="dxa"/>
          </w:tcPr>
          <w:p w:rsidR="00E35A4A" w:rsidRPr="007D2FCA" w:rsidRDefault="007D2FCA" w:rsidP="00E35A4A">
            <w:pPr>
              <w:rPr>
                <w:lang w:val="en-US"/>
              </w:rPr>
            </w:pPr>
            <w:r w:rsidRPr="007D2FCA">
              <w:rPr>
                <w:lang w:val="en-US"/>
              </w:rPr>
              <w:t>The term of the credit organization's activity from the date of its registration is no less than 5 (five) years</w:t>
            </w:r>
          </w:p>
        </w:tc>
        <w:tc>
          <w:tcPr>
            <w:tcW w:w="1866" w:type="dxa"/>
            <w:noWrap/>
            <w:hideMark/>
          </w:tcPr>
          <w:p w:rsidR="00E35A4A" w:rsidRPr="007D2FCA" w:rsidRDefault="00E35A4A" w:rsidP="00E35A4A">
            <w:pPr>
              <w:rPr>
                <w:lang w:val="en-US"/>
              </w:rPr>
            </w:pPr>
          </w:p>
        </w:tc>
      </w:tr>
      <w:tr w:rsidR="00E35A4A" w:rsidRPr="007D2FCA" w:rsidTr="007D2FCA">
        <w:trPr>
          <w:trHeight w:val="864"/>
        </w:trPr>
        <w:tc>
          <w:tcPr>
            <w:tcW w:w="703" w:type="dxa"/>
            <w:noWrap/>
            <w:hideMark/>
          </w:tcPr>
          <w:p w:rsidR="00E35A4A" w:rsidRPr="008C2168" w:rsidRDefault="00E35A4A" w:rsidP="00E35A4A">
            <w:r w:rsidRPr="008C2168">
              <w:t>5</w:t>
            </w:r>
          </w:p>
        </w:tc>
        <w:tc>
          <w:tcPr>
            <w:tcW w:w="7627" w:type="dxa"/>
          </w:tcPr>
          <w:p w:rsidR="00E35A4A" w:rsidRPr="007D2FCA" w:rsidRDefault="007D2FCA" w:rsidP="00E35A4A">
            <w:pPr>
              <w:rPr>
                <w:lang w:val="en-US"/>
              </w:rPr>
            </w:pPr>
            <w:r w:rsidRPr="007D2FCA">
              <w:rPr>
                <w:lang w:val="en-US"/>
              </w:rPr>
              <w:t>The absence of the effective measure against the credit institution applied by the Central Bank of the Russian Federation for violation of mandatory standards established in accordance with the Law on the Bank of Russia</w:t>
            </w:r>
          </w:p>
        </w:tc>
        <w:tc>
          <w:tcPr>
            <w:tcW w:w="1866" w:type="dxa"/>
            <w:noWrap/>
            <w:hideMark/>
          </w:tcPr>
          <w:p w:rsidR="00E35A4A" w:rsidRPr="007D2FCA" w:rsidRDefault="00E35A4A" w:rsidP="00E35A4A">
            <w:pPr>
              <w:rPr>
                <w:lang w:val="en-US"/>
              </w:rPr>
            </w:pPr>
          </w:p>
        </w:tc>
      </w:tr>
      <w:tr w:rsidR="00E35A4A" w:rsidRPr="007D2FCA" w:rsidTr="007D2FCA">
        <w:trPr>
          <w:trHeight w:val="864"/>
        </w:trPr>
        <w:tc>
          <w:tcPr>
            <w:tcW w:w="703" w:type="dxa"/>
            <w:noWrap/>
            <w:hideMark/>
          </w:tcPr>
          <w:p w:rsidR="00E35A4A" w:rsidRPr="008C2168" w:rsidRDefault="00E35A4A" w:rsidP="00E35A4A">
            <w:r w:rsidRPr="008C2168">
              <w:t>6</w:t>
            </w:r>
          </w:p>
        </w:tc>
        <w:tc>
          <w:tcPr>
            <w:tcW w:w="7627" w:type="dxa"/>
          </w:tcPr>
          <w:p w:rsidR="00E35A4A" w:rsidRPr="007D2FCA" w:rsidRDefault="007D2FCA" w:rsidP="00E35A4A">
            <w:pPr>
              <w:rPr>
                <w:lang w:val="en-US"/>
              </w:rPr>
            </w:pPr>
            <w:r w:rsidRPr="007D2FCA">
              <w:rPr>
                <w:lang w:val="en-US"/>
              </w:rPr>
              <w:t>Absence of a credit institution  During the last 12 (twelve) months of overdue cash commitments on transactions with the Bank of Russia, including on loans from the Bank of Russia and interest on them, as well as the lack of loans  The organization of overdue debts on bank deposits previously placed in it at the expense of the Fund's funds</w:t>
            </w:r>
          </w:p>
        </w:tc>
        <w:tc>
          <w:tcPr>
            <w:tcW w:w="1866" w:type="dxa"/>
            <w:noWrap/>
            <w:hideMark/>
          </w:tcPr>
          <w:p w:rsidR="00E35A4A" w:rsidRPr="007D2FCA" w:rsidRDefault="00E35A4A" w:rsidP="00E35A4A">
            <w:pPr>
              <w:rPr>
                <w:lang w:val="en-US"/>
              </w:rPr>
            </w:pPr>
          </w:p>
        </w:tc>
      </w:tr>
      <w:tr w:rsidR="00E35A4A" w:rsidRPr="007D2FCA" w:rsidTr="007D2FCA">
        <w:trPr>
          <w:trHeight w:val="288"/>
        </w:trPr>
        <w:tc>
          <w:tcPr>
            <w:tcW w:w="703" w:type="dxa"/>
            <w:noWrap/>
            <w:hideMark/>
          </w:tcPr>
          <w:p w:rsidR="00E35A4A" w:rsidRPr="008C2168" w:rsidRDefault="00E35A4A" w:rsidP="00E35A4A">
            <w:r w:rsidRPr="008C2168">
              <w:t>7</w:t>
            </w:r>
          </w:p>
        </w:tc>
        <w:tc>
          <w:tcPr>
            <w:tcW w:w="7627" w:type="dxa"/>
          </w:tcPr>
          <w:p w:rsidR="00E35A4A" w:rsidRPr="007D2FCA" w:rsidRDefault="007D2FCA" w:rsidP="002C7E28">
            <w:pPr>
              <w:rPr>
                <w:lang w:val="en-US"/>
              </w:rPr>
            </w:pPr>
            <w:r w:rsidRPr="007D2FCA">
              <w:rPr>
                <w:lang w:val="en-US"/>
              </w:rPr>
              <w:t>The participation of a credit institution in the mandatory deposit insurance system for individuals in the banks of the Russian Federation in accordance with Federal Law No. 177-</w:t>
            </w:r>
            <w:r w:rsidRPr="007D2FCA">
              <w:t>ФЗ</w:t>
            </w:r>
            <w:r w:rsidRPr="007D2FCA">
              <w:rPr>
                <w:lang w:val="en-US"/>
              </w:rPr>
              <w:t xml:space="preserve"> of December 23, 2003 "On Deposit Insurance  Individuals in the banks of the Russian Federation"</w:t>
            </w:r>
          </w:p>
        </w:tc>
        <w:tc>
          <w:tcPr>
            <w:tcW w:w="1866" w:type="dxa"/>
            <w:noWrap/>
            <w:hideMark/>
          </w:tcPr>
          <w:p w:rsidR="00E35A4A" w:rsidRPr="007D2FCA" w:rsidRDefault="00E35A4A" w:rsidP="00E35A4A">
            <w:pPr>
              <w:rPr>
                <w:lang w:val="en-US"/>
              </w:rPr>
            </w:pPr>
          </w:p>
        </w:tc>
      </w:tr>
    </w:tbl>
    <w:p w:rsidR="00A4557D" w:rsidRPr="007D2FCA" w:rsidRDefault="00A4557D" w:rsidP="00484478">
      <w:pPr>
        <w:ind w:left="142" w:right="141" w:firstLine="567"/>
        <w:jc w:val="both"/>
        <w:rPr>
          <w:rFonts w:cs="Times New Roman"/>
          <w:lang w:val="en-US"/>
        </w:rPr>
      </w:pPr>
    </w:p>
    <w:p w:rsidR="00484478" w:rsidRPr="0023296E" w:rsidRDefault="0023296E" w:rsidP="00484478">
      <w:pPr>
        <w:ind w:left="142" w:right="141" w:firstLine="567"/>
        <w:jc w:val="both"/>
        <w:rPr>
          <w:rFonts w:cs="Times New Roman"/>
          <w:lang w:val="en-US"/>
        </w:rPr>
      </w:pPr>
      <w:r w:rsidRPr="0023296E">
        <w:rPr>
          <w:rFonts w:cs="Times New Roman"/>
          <w:lang w:val="en-US"/>
        </w:rPr>
        <w:t>In order to promptly notify the Applicant of organizational matters, you should ____________________</w:t>
      </w:r>
      <w:r w:rsidR="00484478" w:rsidRPr="0023296E">
        <w:rPr>
          <w:rFonts w:cs="Times New Roman"/>
          <w:lang w:val="en-US"/>
        </w:rPr>
        <w:t>___</w:t>
      </w:r>
      <w:r w:rsidR="00EC6E27" w:rsidRPr="0023296E">
        <w:rPr>
          <w:rFonts w:cs="Times New Roman"/>
          <w:lang w:val="en-US"/>
        </w:rPr>
        <w:t>_____</w:t>
      </w:r>
      <w:r w:rsidR="00484478" w:rsidRPr="0023296E">
        <w:rPr>
          <w:rFonts w:cs="Times New Roman"/>
          <w:lang w:val="en-US"/>
        </w:rPr>
        <w:t>______________________</w:t>
      </w:r>
      <w:r w:rsidR="001C56D0" w:rsidRPr="0023296E">
        <w:rPr>
          <w:rFonts w:cs="Times New Roman"/>
          <w:lang w:val="en-US"/>
        </w:rPr>
        <w:t>________________________</w:t>
      </w:r>
      <w:r w:rsidR="00484478" w:rsidRPr="0023296E">
        <w:rPr>
          <w:rFonts w:cs="Times New Roman"/>
          <w:lang w:val="en-US"/>
        </w:rPr>
        <w:t>________.</w:t>
      </w:r>
    </w:p>
    <w:p w:rsidR="00484478" w:rsidRPr="0023296E" w:rsidRDefault="00484478" w:rsidP="00484478">
      <w:pPr>
        <w:ind w:left="142" w:right="141" w:firstLine="567"/>
        <w:jc w:val="both"/>
        <w:rPr>
          <w:rFonts w:cs="Times New Roman"/>
          <w:sz w:val="18"/>
          <w:szCs w:val="18"/>
          <w:lang w:val="en-US"/>
        </w:rPr>
      </w:pPr>
      <w:r w:rsidRPr="0023296E">
        <w:rPr>
          <w:rFonts w:cs="Times New Roman"/>
          <w:lang w:val="en-US"/>
        </w:rPr>
        <w:t xml:space="preserve"> </w:t>
      </w:r>
      <w:r w:rsidR="00EC6E27" w:rsidRPr="0023296E">
        <w:rPr>
          <w:rFonts w:cs="Times New Roman"/>
          <w:lang w:val="en-US"/>
        </w:rPr>
        <w:tab/>
      </w:r>
      <w:r w:rsidR="00EC6E27" w:rsidRPr="0023296E">
        <w:rPr>
          <w:rFonts w:cs="Times New Roman"/>
          <w:lang w:val="en-US"/>
        </w:rPr>
        <w:tab/>
      </w:r>
      <w:r w:rsidR="00EC6E27" w:rsidRPr="0023296E">
        <w:rPr>
          <w:rFonts w:cs="Times New Roman"/>
          <w:lang w:val="en-US"/>
        </w:rPr>
        <w:tab/>
      </w:r>
      <w:r w:rsidR="00EC6E27" w:rsidRPr="0023296E">
        <w:rPr>
          <w:rFonts w:cs="Times New Roman"/>
          <w:lang w:val="en-US"/>
        </w:rPr>
        <w:tab/>
      </w:r>
      <w:r w:rsidR="00EC6E27" w:rsidRPr="0023296E">
        <w:rPr>
          <w:rFonts w:cs="Times New Roman"/>
          <w:lang w:val="en-US"/>
        </w:rPr>
        <w:tab/>
      </w:r>
      <w:r w:rsidR="00EC6E27" w:rsidRPr="0023296E">
        <w:rPr>
          <w:rFonts w:cs="Times New Roman"/>
          <w:lang w:val="en-US"/>
        </w:rPr>
        <w:tab/>
      </w:r>
      <w:r w:rsidRPr="0023296E">
        <w:rPr>
          <w:rFonts w:cs="Times New Roman"/>
          <w:sz w:val="18"/>
          <w:szCs w:val="18"/>
          <w:lang w:val="en-US"/>
        </w:rPr>
        <w:t>(</w:t>
      </w:r>
      <w:proofErr w:type="gramStart"/>
      <w:r w:rsidR="0023296E" w:rsidRPr="0023296E">
        <w:rPr>
          <w:rFonts w:cs="Times New Roman"/>
          <w:sz w:val="18"/>
          <w:szCs w:val="18"/>
          <w:lang w:val="en-US"/>
        </w:rPr>
        <w:t>contact</w:t>
      </w:r>
      <w:proofErr w:type="gramEnd"/>
      <w:r w:rsidR="0023296E" w:rsidRPr="0023296E">
        <w:rPr>
          <w:rFonts w:cs="Times New Roman"/>
          <w:sz w:val="18"/>
          <w:szCs w:val="18"/>
          <w:lang w:val="en-US"/>
        </w:rPr>
        <w:t xml:space="preserve"> the Applicant's contact details</w:t>
      </w:r>
      <w:r w:rsidRPr="0023296E">
        <w:rPr>
          <w:rFonts w:cs="Times New Roman"/>
          <w:sz w:val="18"/>
          <w:szCs w:val="18"/>
          <w:lang w:val="en-US"/>
        </w:rPr>
        <w:t>)</w:t>
      </w:r>
    </w:p>
    <w:p w:rsidR="00E703BE" w:rsidRPr="0023296E" w:rsidRDefault="0023296E" w:rsidP="00E703BE">
      <w:pPr>
        <w:ind w:left="142" w:right="141" w:firstLine="567"/>
        <w:jc w:val="both"/>
        <w:rPr>
          <w:rFonts w:cs="Times New Roman"/>
          <w:lang w:val="en-US"/>
        </w:rPr>
      </w:pPr>
      <w:r w:rsidRPr="0023296E">
        <w:rPr>
          <w:rFonts w:cs="Times New Roman"/>
          <w:lang w:val="en-US"/>
        </w:rPr>
        <w:t>The requisites of the Applicant</w:t>
      </w:r>
      <w:r w:rsidR="00E703BE" w:rsidRPr="0023296E">
        <w:rPr>
          <w:rFonts w:cs="Times New Roman"/>
          <w:lang w:val="en-US"/>
        </w:rPr>
        <w:t>:</w:t>
      </w:r>
    </w:p>
    <w:p w:rsidR="00E703BE" w:rsidRPr="0023296E" w:rsidRDefault="0023296E" w:rsidP="00484478">
      <w:pPr>
        <w:ind w:left="142" w:right="141" w:firstLine="567"/>
        <w:jc w:val="both"/>
        <w:rPr>
          <w:rFonts w:cs="Times New Roman"/>
          <w:lang w:val="en-US"/>
        </w:rPr>
      </w:pPr>
      <w:r w:rsidRPr="0023296E">
        <w:rPr>
          <w:rFonts w:cs="Times New Roman"/>
          <w:lang w:val="en-US"/>
        </w:rPr>
        <w:t xml:space="preserve">Full name </w:t>
      </w:r>
      <w:r w:rsidR="00E703BE" w:rsidRPr="0023296E">
        <w:rPr>
          <w:rFonts w:cs="Times New Roman"/>
          <w:lang w:val="en-US"/>
        </w:rPr>
        <w:t>________________________________________________</w:t>
      </w:r>
      <w:proofErr w:type="gramStart"/>
      <w:r w:rsidR="00E703BE" w:rsidRPr="0023296E">
        <w:rPr>
          <w:rFonts w:cs="Times New Roman"/>
          <w:lang w:val="en-US"/>
        </w:rPr>
        <w:t>_ ,</w:t>
      </w:r>
      <w:proofErr w:type="gramEnd"/>
    </w:p>
    <w:p w:rsidR="00484478" w:rsidRPr="0023296E" w:rsidRDefault="0023296E" w:rsidP="00484478">
      <w:pPr>
        <w:ind w:left="142" w:right="141" w:firstLine="567"/>
        <w:jc w:val="both"/>
        <w:rPr>
          <w:rFonts w:cs="Times New Roman"/>
          <w:lang w:val="en-US"/>
        </w:rPr>
      </w:pPr>
      <w:r w:rsidRPr="0023296E">
        <w:rPr>
          <w:rFonts w:cs="Times New Roman"/>
          <w:lang w:val="en-US"/>
        </w:rPr>
        <w:t xml:space="preserve">Location </w:t>
      </w:r>
      <w:r w:rsidR="00484478" w:rsidRPr="0023296E">
        <w:rPr>
          <w:rFonts w:cs="Times New Roman"/>
          <w:lang w:val="en-US"/>
        </w:rPr>
        <w:t>_____________________________________________________,</w:t>
      </w:r>
    </w:p>
    <w:p w:rsidR="00484478" w:rsidRPr="0023296E" w:rsidRDefault="0023296E" w:rsidP="00484478">
      <w:pPr>
        <w:ind w:left="142" w:right="141" w:firstLine="567"/>
        <w:jc w:val="both"/>
        <w:rPr>
          <w:rFonts w:cs="Times New Roman"/>
          <w:lang w:val="en-US"/>
        </w:rPr>
      </w:pPr>
      <w:r w:rsidRPr="0023296E">
        <w:rPr>
          <w:rFonts w:cs="Times New Roman"/>
          <w:lang w:val="en-US"/>
        </w:rPr>
        <w:t xml:space="preserve">Tel / Fax </w:t>
      </w:r>
      <w:r w:rsidR="00484478" w:rsidRPr="0023296E">
        <w:rPr>
          <w:rFonts w:cs="Times New Roman"/>
          <w:lang w:val="en-US"/>
        </w:rPr>
        <w:t>____________</w:t>
      </w:r>
      <w:proofErr w:type="gramStart"/>
      <w:r w:rsidR="00484478" w:rsidRPr="0023296E">
        <w:rPr>
          <w:rFonts w:cs="Times New Roman"/>
          <w:lang w:val="en-US"/>
        </w:rPr>
        <w:t>_ ,</w:t>
      </w:r>
      <w:proofErr w:type="gramEnd"/>
      <w:r w:rsidR="00E703BE" w:rsidRPr="0023296E">
        <w:rPr>
          <w:rFonts w:cs="Times New Roman"/>
          <w:lang w:val="en-US"/>
        </w:rPr>
        <w:t xml:space="preserve"> </w:t>
      </w:r>
      <w:r w:rsidR="00E703BE">
        <w:rPr>
          <w:rFonts w:cs="Times New Roman"/>
          <w:lang w:val="en-US"/>
        </w:rPr>
        <w:t>e</w:t>
      </w:r>
      <w:r w:rsidR="00E703BE" w:rsidRPr="0023296E">
        <w:rPr>
          <w:rFonts w:cs="Times New Roman"/>
          <w:lang w:val="en-US"/>
        </w:rPr>
        <w:t>-</w:t>
      </w:r>
      <w:r w:rsidR="00E703BE">
        <w:rPr>
          <w:rFonts w:cs="Times New Roman"/>
          <w:lang w:val="en-US"/>
        </w:rPr>
        <w:t>mail</w:t>
      </w:r>
      <w:r w:rsidR="00E703BE" w:rsidRPr="0023296E">
        <w:rPr>
          <w:rFonts w:cs="Times New Roman"/>
          <w:lang w:val="en-US"/>
        </w:rPr>
        <w:t>: ______________,</w:t>
      </w:r>
    </w:p>
    <w:p w:rsidR="00484478" w:rsidRPr="0023296E" w:rsidRDefault="0023296E" w:rsidP="00484478">
      <w:pPr>
        <w:ind w:left="142" w:right="141" w:firstLine="567"/>
        <w:jc w:val="both"/>
        <w:rPr>
          <w:rFonts w:cs="Times New Roman"/>
          <w:lang w:val="en-US"/>
        </w:rPr>
      </w:pPr>
      <w:r w:rsidRPr="0023296E">
        <w:rPr>
          <w:rFonts w:cs="Times New Roman"/>
          <w:lang w:val="en-US"/>
        </w:rPr>
        <w:t>Bank details</w:t>
      </w:r>
      <w:r w:rsidR="00484478" w:rsidRPr="0023296E">
        <w:rPr>
          <w:rFonts w:cs="Times New Roman"/>
          <w:lang w:val="en-US"/>
        </w:rPr>
        <w:t>: __________________________________________________</w:t>
      </w:r>
      <w:proofErr w:type="gramStart"/>
      <w:r w:rsidR="00484478" w:rsidRPr="0023296E">
        <w:rPr>
          <w:rFonts w:cs="Times New Roman"/>
          <w:lang w:val="en-US"/>
        </w:rPr>
        <w:t>_</w:t>
      </w:r>
      <w:r w:rsidR="00E703BE" w:rsidRPr="0023296E">
        <w:rPr>
          <w:rFonts w:cs="Times New Roman"/>
          <w:lang w:val="en-US"/>
        </w:rPr>
        <w:t xml:space="preserve"> ,</w:t>
      </w:r>
      <w:proofErr w:type="gramEnd"/>
    </w:p>
    <w:p w:rsidR="00E703BE" w:rsidRPr="0023296E" w:rsidRDefault="0023296E" w:rsidP="00484478">
      <w:pPr>
        <w:ind w:left="142" w:right="141" w:firstLine="567"/>
        <w:jc w:val="both"/>
        <w:rPr>
          <w:rFonts w:cs="Times New Roman"/>
          <w:lang w:val="en-US"/>
        </w:rPr>
      </w:pPr>
      <w:r w:rsidRPr="0023296E">
        <w:rPr>
          <w:rFonts w:cs="Times New Roman"/>
          <w:lang w:val="en-US"/>
        </w:rPr>
        <w:t xml:space="preserve">INN / CAT </w:t>
      </w:r>
      <w:r w:rsidR="00E703BE" w:rsidRPr="0023296E">
        <w:rPr>
          <w:rFonts w:cs="Times New Roman"/>
          <w:lang w:val="en-US"/>
        </w:rPr>
        <w:t>_______________________________</w:t>
      </w:r>
      <w:proofErr w:type="gramStart"/>
      <w:r w:rsidR="00E703BE" w:rsidRPr="0023296E">
        <w:rPr>
          <w:rFonts w:cs="Times New Roman"/>
          <w:lang w:val="en-US"/>
        </w:rPr>
        <w:t>_ ,</w:t>
      </w:r>
      <w:proofErr w:type="gramEnd"/>
    </w:p>
    <w:p w:rsidR="00E703BE" w:rsidRPr="0023296E" w:rsidRDefault="0023296E" w:rsidP="00484478">
      <w:pPr>
        <w:ind w:left="142" w:right="141" w:firstLine="567"/>
        <w:jc w:val="both"/>
        <w:rPr>
          <w:rFonts w:cs="Times New Roman"/>
          <w:lang w:val="en-US"/>
        </w:rPr>
      </w:pPr>
      <w:r w:rsidRPr="0023296E">
        <w:rPr>
          <w:rFonts w:cs="Times New Roman"/>
          <w:lang w:val="en-US"/>
        </w:rPr>
        <w:t>OGRN</w:t>
      </w:r>
      <w:r w:rsidR="00E703BE" w:rsidRPr="0023296E">
        <w:rPr>
          <w:rFonts w:cs="Times New Roman"/>
          <w:lang w:val="en-US"/>
        </w:rPr>
        <w:t xml:space="preserve"> ______________________________</w:t>
      </w:r>
      <w:proofErr w:type="gramStart"/>
      <w:r w:rsidR="00E703BE" w:rsidRPr="0023296E">
        <w:rPr>
          <w:rFonts w:cs="Times New Roman"/>
          <w:lang w:val="en-US"/>
        </w:rPr>
        <w:t>_ ,</w:t>
      </w:r>
      <w:proofErr w:type="gramEnd"/>
    </w:p>
    <w:p w:rsidR="00E703BE" w:rsidRPr="0023296E" w:rsidRDefault="0023296E" w:rsidP="00484478">
      <w:pPr>
        <w:ind w:left="142" w:right="141" w:firstLine="567"/>
        <w:jc w:val="both"/>
        <w:rPr>
          <w:rFonts w:cs="Times New Roman"/>
          <w:lang w:val="en-US"/>
        </w:rPr>
      </w:pPr>
      <w:r w:rsidRPr="0023296E">
        <w:rPr>
          <w:rFonts w:cs="Times New Roman"/>
          <w:lang w:val="en-US"/>
        </w:rPr>
        <w:t>Official site</w:t>
      </w:r>
      <w:r w:rsidR="00A630CF" w:rsidRPr="0023296E">
        <w:rPr>
          <w:rFonts w:cs="Times New Roman"/>
          <w:lang w:val="en-US"/>
        </w:rPr>
        <w:t>:  ______________________</w:t>
      </w:r>
      <w:proofErr w:type="gramStart"/>
      <w:r w:rsidR="00A630CF" w:rsidRPr="0023296E">
        <w:rPr>
          <w:rFonts w:cs="Times New Roman"/>
          <w:lang w:val="en-US"/>
        </w:rPr>
        <w:t>_ ,</w:t>
      </w:r>
      <w:proofErr w:type="gramEnd"/>
    </w:p>
    <w:p w:rsidR="00EC6E27" w:rsidRPr="0023296E" w:rsidRDefault="00EC6E27" w:rsidP="00484478">
      <w:pPr>
        <w:ind w:left="142" w:right="141" w:firstLine="567"/>
        <w:jc w:val="both"/>
        <w:rPr>
          <w:rFonts w:cs="Times New Roman"/>
          <w:lang w:val="en-US"/>
        </w:rPr>
      </w:pPr>
    </w:p>
    <w:p w:rsidR="00484478" w:rsidRPr="0023296E" w:rsidRDefault="0023296E" w:rsidP="00484478">
      <w:pPr>
        <w:ind w:left="142" w:right="141" w:firstLine="567"/>
        <w:jc w:val="both"/>
        <w:rPr>
          <w:rFonts w:cs="Times New Roman"/>
          <w:lang w:val="en-US"/>
        </w:rPr>
      </w:pPr>
      <w:r w:rsidRPr="0023296E">
        <w:rPr>
          <w:rFonts w:cs="Times New Roman"/>
          <w:lang w:val="en-US"/>
        </w:rPr>
        <w:t xml:space="preserve">Participant </w:t>
      </w:r>
      <w:proofErr w:type="gramStart"/>
      <w:r w:rsidRPr="0023296E">
        <w:rPr>
          <w:rFonts w:cs="Times New Roman"/>
          <w:lang w:val="en-US"/>
        </w:rPr>
        <w:t>( Applicant</w:t>
      </w:r>
      <w:proofErr w:type="gramEnd"/>
      <w:r w:rsidRPr="0023296E">
        <w:rPr>
          <w:rFonts w:cs="Times New Roman"/>
          <w:lang w:val="en-US"/>
        </w:rPr>
        <w:t xml:space="preserve">) </w:t>
      </w:r>
      <w:r w:rsidR="001E13AE" w:rsidRPr="0023296E">
        <w:rPr>
          <w:rFonts w:cs="Times New Roman"/>
          <w:lang w:val="en-US"/>
        </w:rPr>
        <w:t xml:space="preserve"> </w:t>
      </w:r>
      <w:r w:rsidR="00484478" w:rsidRPr="0023296E">
        <w:rPr>
          <w:rFonts w:cs="Times New Roman"/>
          <w:lang w:val="en-US"/>
        </w:rPr>
        <w:t xml:space="preserve"> </w:t>
      </w:r>
      <w:r w:rsidR="001E13AE" w:rsidRPr="0023296E">
        <w:rPr>
          <w:rFonts w:cs="Times New Roman"/>
          <w:lang w:val="en-US"/>
        </w:rPr>
        <w:t xml:space="preserve"> </w:t>
      </w:r>
      <w:r w:rsidR="00484478" w:rsidRPr="0023296E">
        <w:rPr>
          <w:rFonts w:cs="Times New Roman"/>
          <w:lang w:val="en-US"/>
        </w:rPr>
        <w:t xml:space="preserve">______________________________ </w:t>
      </w:r>
      <w:r w:rsidR="001E13AE" w:rsidRPr="0023296E">
        <w:rPr>
          <w:rFonts w:cs="Times New Roman"/>
          <w:lang w:val="en-US"/>
        </w:rPr>
        <w:t xml:space="preserve"> </w:t>
      </w:r>
      <w:r w:rsidRPr="0023296E">
        <w:rPr>
          <w:rFonts w:cs="Times New Roman"/>
          <w:lang w:val="en-US"/>
        </w:rPr>
        <w:t>(full name)</w:t>
      </w:r>
    </w:p>
    <w:p w:rsidR="00484478" w:rsidRPr="0023296E" w:rsidRDefault="0023296E" w:rsidP="0023296E">
      <w:pPr>
        <w:ind w:left="708" w:right="141" w:firstLine="708"/>
        <w:jc w:val="both"/>
        <w:rPr>
          <w:rFonts w:cs="Times New Roman"/>
          <w:lang w:val="en-US"/>
        </w:rPr>
      </w:pPr>
      <w:r w:rsidRPr="0023296E">
        <w:rPr>
          <w:rFonts w:cs="Times New Roman"/>
          <w:sz w:val="18"/>
          <w:szCs w:val="18"/>
          <w:lang w:val="en-US"/>
        </w:rPr>
        <w:t>(</w:t>
      </w:r>
      <w:proofErr w:type="gramStart"/>
      <w:r w:rsidRPr="0023296E">
        <w:rPr>
          <w:rFonts w:cs="Times New Roman"/>
          <w:sz w:val="18"/>
          <w:szCs w:val="18"/>
          <w:lang w:val="en-US"/>
        </w:rPr>
        <w:t>position</w:t>
      </w:r>
      <w:proofErr w:type="gramEnd"/>
      <w:r w:rsidRPr="0023296E">
        <w:rPr>
          <w:rFonts w:cs="Times New Roman"/>
          <w:sz w:val="18"/>
          <w:szCs w:val="18"/>
          <w:lang w:val="en-US"/>
        </w:rPr>
        <w:t xml:space="preserve">) </w:t>
      </w:r>
      <w:r w:rsidR="00484478" w:rsidRPr="0023296E">
        <w:rPr>
          <w:rFonts w:cs="Times New Roman"/>
          <w:sz w:val="18"/>
          <w:szCs w:val="18"/>
          <w:lang w:val="en-US"/>
        </w:rPr>
        <w:t xml:space="preserve">                          </w:t>
      </w:r>
      <w:r w:rsidR="00A630CF" w:rsidRPr="0023296E">
        <w:rPr>
          <w:rFonts w:cs="Times New Roman"/>
          <w:sz w:val="18"/>
          <w:szCs w:val="18"/>
          <w:lang w:val="en-US"/>
        </w:rPr>
        <w:tab/>
      </w:r>
      <w:r w:rsidR="00A630CF" w:rsidRPr="0023296E">
        <w:rPr>
          <w:rFonts w:cs="Times New Roman"/>
          <w:sz w:val="18"/>
          <w:szCs w:val="18"/>
          <w:lang w:val="en-US"/>
        </w:rPr>
        <w:tab/>
      </w:r>
      <w:r w:rsidRPr="0023296E">
        <w:rPr>
          <w:rFonts w:cs="Times New Roman"/>
          <w:sz w:val="18"/>
          <w:szCs w:val="18"/>
          <w:lang w:val="en-US"/>
        </w:rPr>
        <w:t>(</w:t>
      </w:r>
      <w:proofErr w:type="gramStart"/>
      <w:r w:rsidRPr="0023296E">
        <w:rPr>
          <w:rFonts w:cs="Times New Roman"/>
          <w:sz w:val="18"/>
          <w:szCs w:val="18"/>
          <w:lang w:val="en-US"/>
        </w:rPr>
        <w:t>signature</w:t>
      </w:r>
      <w:proofErr w:type="gramEnd"/>
      <w:r w:rsidRPr="0023296E">
        <w:rPr>
          <w:rFonts w:cs="Times New Roman"/>
          <w:sz w:val="18"/>
          <w:szCs w:val="18"/>
          <w:lang w:val="en-US"/>
        </w:rPr>
        <w:t xml:space="preserve">) </w:t>
      </w:r>
      <w:r w:rsidR="00484478" w:rsidRPr="0023296E">
        <w:rPr>
          <w:rFonts w:cs="Times New Roman"/>
          <w:lang w:val="en-US"/>
        </w:rPr>
        <w:t xml:space="preserve"> </w:t>
      </w:r>
      <w:r w:rsidR="00484478" w:rsidRPr="0023296E">
        <w:rPr>
          <w:rFonts w:cs="Times New Roman"/>
          <w:lang w:val="en-US"/>
        </w:rPr>
        <w:tab/>
      </w:r>
    </w:p>
    <w:p w:rsidR="00484478" w:rsidRPr="0023296E" w:rsidRDefault="00484478" w:rsidP="00484478">
      <w:pPr>
        <w:ind w:left="142" w:right="141" w:firstLine="567"/>
        <w:jc w:val="both"/>
        <w:rPr>
          <w:rFonts w:cs="Times New Roman"/>
          <w:lang w:val="en-US"/>
        </w:rPr>
      </w:pPr>
    </w:p>
    <w:p w:rsidR="00484478" w:rsidRPr="0023296E" w:rsidRDefault="0023296E" w:rsidP="00484478">
      <w:pPr>
        <w:ind w:left="142" w:right="141" w:firstLine="567"/>
        <w:jc w:val="both"/>
        <w:rPr>
          <w:rFonts w:cs="Times New Roman"/>
          <w:lang w:val="en-US"/>
        </w:rPr>
      </w:pPr>
      <w:r w:rsidRPr="0023296E">
        <w:rPr>
          <w:rFonts w:cs="Times New Roman"/>
          <w:lang w:val="en-US"/>
        </w:rPr>
        <w:t xml:space="preserve">This application has attachments on </w:t>
      </w:r>
      <w:r w:rsidR="00484478" w:rsidRPr="0023296E">
        <w:rPr>
          <w:rFonts w:cs="Times New Roman"/>
          <w:lang w:val="en-US"/>
        </w:rPr>
        <w:t xml:space="preserve">________ </w:t>
      </w:r>
      <w:r w:rsidRPr="0023296E">
        <w:rPr>
          <w:rFonts w:cs="Times New Roman"/>
          <w:lang w:val="en-US"/>
        </w:rPr>
        <w:t>sheets.</w:t>
      </w:r>
    </w:p>
    <w:p w:rsidR="00B15C7A" w:rsidRPr="0023296E" w:rsidRDefault="00484478" w:rsidP="0023296E">
      <w:pPr>
        <w:ind w:left="142" w:right="141" w:firstLine="567"/>
        <w:jc w:val="both"/>
        <w:rPr>
          <w:rFonts w:cs="Times New Roman"/>
          <w:lang w:val="en-US"/>
        </w:rPr>
      </w:pPr>
      <w:r w:rsidRPr="0023296E">
        <w:rPr>
          <w:rFonts w:cs="Times New Roman"/>
          <w:lang w:val="en-US"/>
        </w:rPr>
        <w:t>(</w:t>
      </w:r>
      <w:r w:rsidR="0023296E" w:rsidRPr="0023296E">
        <w:rPr>
          <w:rFonts w:cs="Times New Roman"/>
          <w:lang w:val="en-US"/>
        </w:rPr>
        <w:t xml:space="preserve">Application documents are indicated in a separate inventory).  </w:t>
      </w:r>
    </w:p>
    <w:p w:rsidR="00B15C7A" w:rsidRPr="0023296E" w:rsidRDefault="00B15C7A" w:rsidP="00CB7F25">
      <w:pPr>
        <w:ind w:firstLine="709"/>
        <w:jc w:val="both"/>
        <w:rPr>
          <w:rFonts w:cs="Times New Roman"/>
          <w:b/>
          <w:lang w:val="en-US"/>
        </w:rPr>
      </w:pPr>
    </w:p>
    <w:p w:rsidR="00813AD6" w:rsidRPr="0023296E" w:rsidRDefault="00813AD6" w:rsidP="00CB7F25">
      <w:pPr>
        <w:ind w:firstLine="709"/>
        <w:jc w:val="both"/>
        <w:rPr>
          <w:rFonts w:cs="Times New Roman"/>
          <w:b/>
          <w:lang w:val="en-US"/>
        </w:rPr>
      </w:pPr>
    </w:p>
    <w:p w:rsidR="00813AD6" w:rsidRPr="0023296E" w:rsidRDefault="00813AD6" w:rsidP="00CB7F25">
      <w:pPr>
        <w:ind w:firstLine="709"/>
        <w:jc w:val="both"/>
        <w:rPr>
          <w:rFonts w:cs="Times New Roman"/>
          <w:b/>
          <w:lang w:val="en-US"/>
        </w:rPr>
      </w:pPr>
    </w:p>
    <w:p w:rsidR="00B15C7A" w:rsidRPr="0023296E" w:rsidRDefault="00B15C7A" w:rsidP="00CB7F25">
      <w:pPr>
        <w:ind w:firstLine="709"/>
        <w:jc w:val="both"/>
        <w:rPr>
          <w:rFonts w:cs="Times New Roman"/>
          <w:b/>
          <w:lang w:val="en-US"/>
        </w:rPr>
      </w:pPr>
    </w:p>
    <w:p w:rsidR="00D942EE" w:rsidRDefault="00D942EE" w:rsidP="00741D34">
      <w:pPr>
        <w:ind w:firstLine="567"/>
        <w:jc w:val="right"/>
        <w:rPr>
          <w:rFonts w:cs="Times New Roman"/>
          <w:i/>
          <w:sz w:val="20"/>
          <w:szCs w:val="20"/>
        </w:rPr>
      </w:pPr>
    </w:p>
    <w:p w:rsidR="0023296E" w:rsidRDefault="0023296E" w:rsidP="00741D34">
      <w:pPr>
        <w:ind w:firstLine="567"/>
        <w:jc w:val="right"/>
        <w:rPr>
          <w:rFonts w:cs="Times New Roman"/>
          <w:i/>
          <w:sz w:val="20"/>
          <w:szCs w:val="20"/>
        </w:rPr>
      </w:pPr>
    </w:p>
    <w:p w:rsidR="0023296E" w:rsidRDefault="0023296E" w:rsidP="00741D34">
      <w:pPr>
        <w:ind w:firstLine="567"/>
        <w:jc w:val="right"/>
        <w:rPr>
          <w:rFonts w:cs="Times New Roman"/>
          <w:i/>
          <w:sz w:val="20"/>
          <w:szCs w:val="20"/>
        </w:rPr>
      </w:pPr>
    </w:p>
    <w:p w:rsidR="0023296E" w:rsidRDefault="0023296E" w:rsidP="00741D34">
      <w:pPr>
        <w:ind w:firstLine="567"/>
        <w:jc w:val="right"/>
        <w:rPr>
          <w:rFonts w:cs="Times New Roman"/>
          <w:i/>
          <w:sz w:val="20"/>
          <w:szCs w:val="20"/>
        </w:rPr>
      </w:pPr>
    </w:p>
    <w:p w:rsidR="0023296E" w:rsidRDefault="0023296E" w:rsidP="00741D34">
      <w:pPr>
        <w:ind w:firstLine="567"/>
        <w:jc w:val="right"/>
        <w:rPr>
          <w:rFonts w:cs="Times New Roman"/>
          <w:i/>
          <w:sz w:val="20"/>
          <w:szCs w:val="20"/>
        </w:rPr>
      </w:pPr>
    </w:p>
    <w:p w:rsidR="0023296E" w:rsidRPr="0023296E" w:rsidRDefault="0023296E" w:rsidP="00741D34">
      <w:pPr>
        <w:ind w:firstLine="567"/>
        <w:jc w:val="right"/>
        <w:rPr>
          <w:rFonts w:cs="Times New Roman"/>
          <w:i/>
          <w:sz w:val="20"/>
          <w:szCs w:val="20"/>
        </w:rPr>
      </w:pPr>
    </w:p>
    <w:p w:rsidR="004B415B" w:rsidRDefault="004C0010" w:rsidP="004C0010">
      <w:pPr>
        <w:ind w:firstLine="709"/>
        <w:jc w:val="right"/>
        <w:rPr>
          <w:rFonts w:cs="Times New Roman"/>
          <w:i/>
          <w:sz w:val="20"/>
          <w:szCs w:val="20"/>
        </w:rPr>
      </w:pPr>
      <w:r w:rsidRPr="004C0010">
        <w:rPr>
          <w:rFonts w:cs="Times New Roman"/>
          <w:i/>
          <w:sz w:val="20"/>
          <w:szCs w:val="20"/>
          <w:lang w:val="en-US"/>
        </w:rPr>
        <w:lastRenderedPageBreak/>
        <w:t xml:space="preserve">Appendix No. 3 to the Procedure for Investing and </w:t>
      </w:r>
    </w:p>
    <w:p w:rsidR="004B415B" w:rsidRPr="004B415B" w:rsidRDefault="004C0010" w:rsidP="004C0010">
      <w:pPr>
        <w:ind w:firstLine="709"/>
        <w:jc w:val="right"/>
        <w:rPr>
          <w:rFonts w:cs="Times New Roman"/>
          <w:i/>
          <w:sz w:val="20"/>
          <w:szCs w:val="20"/>
          <w:lang w:val="en-US"/>
        </w:rPr>
      </w:pPr>
      <w:r w:rsidRPr="004C0010">
        <w:rPr>
          <w:rFonts w:cs="Times New Roman"/>
          <w:i/>
          <w:sz w:val="20"/>
          <w:szCs w:val="20"/>
          <w:lang w:val="en-US"/>
        </w:rPr>
        <w:t>(</w:t>
      </w:r>
      <w:proofErr w:type="gramStart"/>
      <w:r w:rsidRPr="004C0010">
        <w:rPr>
          <w:rFonts w:cs="Times New Roman"/>
          <w:i/>
          <w:sz w:val="20"/>
          <w:szCs w:val="20"/>
          <w:lang w:val="en-US"/>
        </w:rPr>
        <w:t>or</w:t>
      </w:r>
      <w:proofErr w:type="gramEnd"/>
      <w:r w:rsidRPr="004C0010">
        <w:rPr>
          <w:rFonts w:cs="Times New Roman"/>
          <w:i/>
          <w:sz w:val="20"/>
          <w:szCs w:val="20"/>
          <w:lang w:val="en-US"/>
        </w:rPr>
        <w:t xml:space="preserve">) Placement of Temporarily Available Funds, </w:t>
      </w:r>
    </w:p>
    <w:p w:rsidR="00850E26" w:rsidRPr="004C0010" w:rsidRDefault="004C0010" w:rsidP="004C0010">
      <w:pPr>
        <w:ind w:firstLine="709"/>
        <w:jc w:val="right"/>
        <w:rPr>
          <w:rFonts w:cs="Times New Roman"/>
          <w:b/>
          <w:lang w:val="en-US"/>
        </w:rPr>
      </w:pPr>
      <w:r w:rsidRPr="004C0010">
        <w:rPr>
          <w:rFonts w:cs="Times New Roman"/>
          <w:i/>
          <w:sz w:val="20"/>
          <w:szCs w:val="20"/>
          <w:lang w:val="en-US"/>
        </w:rPr>
        <w:t xml:space="preserve">February 20, </w:t>
      </w:r>
      <w:proofErr w:type="gramStart"/>
      <w:r w:rsidRPr="004C0010">
        <w:rPr>
          <w:rFonts w:cs="Times New Roman"/>
          <w:i/>
          <w:sz w:val="20"/>
          <w:szCs w:val="20"/>
          <w:lang w:val="en-US"/>
        </w:rPr>
        <w:t>2017  Protocol</w:t>
      </w:r>
      <w:proofErr w:type="gramEnd"/>
      <w:r w:rsidRPr="004C0010">
        <w:rPr>
          <w:rFonts w:cs="Times New Roman"/>
          <w:i/>
          <w:sz w:val="20"/>
          <w:szCs w:val="20"/>
          <w:lang w:val="en-US"/>
        </w:rPr>
        <w:t xml:space="preserve"> of the Fund Council No. 3</w:t>
      </w:r>
    </w:p>
    <w:p w:rsidR="00D942EE" w:rsidRPr="004C0010" w:rsidRDefault="00D942EE" w:rsidP="0002627C">
      <w:pPr>
        <w:ind w:firstLine="709"/>
        <w:jc w:val="center"/>
        <w:rPr>
          <w:rFonts w:cs="Times New Roman"/>
          <w:b/>
          <w:lang w:val="en-US"/>
        </w:rPr>
      </w:pPr>
    </w:p>
    <w:p w:rsidR="0002627C" w:rsidRDefault="004B415B" w:rsidP="004B415B">
      <w:pPr>
        <w:ind w:firstLine="709"/>
        <w:jc w:val="center"/>
        <w:rPr>
          <w:rFonts w:cs="Times New Roman"/>
          <w:b/>
        </w:rPr>
      </w:pPr>
      <w:r w:rsidRPr="004B415B">
        <w:rPr>
          <w:rFonts w:cs="Times New Roman"/>
          <w:b/>
          <w:lang w:val="en-US"/>
        </w:rPr>
        <w:t>List of documents attached to the application</w:t>
      </w:r>
    </w:p>
    <w:p w:rsidR="004B415B" w:rsidRPr="004B415B" w:rsidRDefault="004B415B" w:rsidP="004B415B">
      <w:pPr>
        <w:ind w:firstLine="709"/>
        <w:jc w:val="center"/>
        <w:rPr>
          <w:rFonts w:cs="Times New Roman"/>
        </w:rPr>
      </w:pPr>
    </w:p>
    <w:tbl>
      <w:tblPr>
        <w:tblStyle w:val="ac"/>
        <w:tblW w:w="0" w:type="auto"/>
        <w:tblLayout w:type="fixed"/>
        <w:tblLook w:val="04A0" w:firstRow="1" w:lastRow="0" w:firstColumn="1" w:lastColumn="0" w:noHBand="0" w:noVBand="1"/>
      </w:tblPr>
      <w:tblGrid>
        <w:gridCol w:w="703"/>
        <w:gridCol w:w="9357"/>
      </w:tblGrid>
      <w:tr w:rsidR="00C86684" w:rsidRPr="00D469B1" w:rsidTr="00C86684">
        <w:trPr>
          <w:trHeight w:val="492"/>
        </w:trPr>
        <w:tc>
          <w:tcPr>
            <w:tcW w:w="703" w:type="dxa"/>
            <w:hideMark/>
          </w:tcPr>
          <w:p w:rsidR="00C86684" w:rsidRPr="00D469B1" w:rsidRDefault="004B415B" w:rsidP="00894BDB">
            <w:pPr>
              <w:ind w:right="141"/>
              <w:jc w:val="both"/>
              <w:rPr>
                <w:rFonts w:cs="Times New Roman"/>
                <w:b/>
                <w:bCs/>
                <w:sz w:val="18"/>
                <w:szCs w:val="18"/>
              </w:rPr>
            </w:pPr>
            <w:r>
              <w:rPr>
                <w:rFonts w:cs="Times New Roman"/>
                <w:b/>
                <w:bCs/>
                <w:sz w:val="18"/>
                <w:szCs w:val="18"/>
              </w:rPr>
              <w:t>№</w:t>
            </w:r>
          </w:p>
        </w:tc>
        <w:tc>
          <w:tcPr>
            <w:tcW w:w="9357" w:type="dxa"/>
            <w:hideMark/>
          </w:tcPr>
          <w:p w:rsidR="00C86684" w:rsidRPr="00D469B1" w:rsidRDefault="004B415B" w:rsidP="007C7D80">
            <w:pPr>
              <w:ind w:left="142" w:right="141" w:firstLine="567"/>
              <w:jc w:val="center"/>
              <w:rPr>
                <w:rFonts w:cs="Times New Roman"/>
                <w:b/>
                <w:bCs/>
                <w:sz w:val="18"/>
                <w:szCs w:val="18"/>
              </w:rPr>
            </w:pPr>
            <w:proofErr w:type="spellStart"/>
            <w:r w:rsidRPr="004B415B">
              <w:rPr>
                <w:rFonts w:cs="Times New Roman"/>
                <w:b/>
                <w:bCs/>
                <w:sz w:val="18"/>
                <w:szCs w:val="18"/>
              </w:rPr>
              <w:t>Document</w:t>
            </w:r>
            <w:proofErr w:type="spellEnd"/>
          </w:p>
        </w:tc>
      </w:tr>
      <w:tr w:rsidR="00C86684" w:rsidRPr="00D469B1" w:rsidTr="00E85C0B">
        <w:trPr>
          <w:trHeight w:val="224"/>
        </w:trPr>
        <w:tc>
          <w:tcPr>
            <w:tcW w:w="703" w:type="dxa"/>
            <w:noWrap/>
            <w:hideMark/>
          </w:tcPr>
          <w:p w:rsidR="00C86684" w:rsidRPr="00D469B1" w:rsidRDefault="00C86684" w:rsidP="00E85C0B">
            <w:pPr>
              <w:ind w:right="141"/>
              <w:jc w:val="both"/>
              <w:rPr>
                <w:rFonts w:cs="Times New Roman"/>
              </w:rPr>
            </w:pPr>
            <w:r w:rsidRPr="00D469B1">
              <w:rPr>
                <w:rFonts w:cs="Times New Roman"/>
              </w:rPr>
              <w:t>1</w:t>
            </w:r>
          </w:p>
        </w:tc>
        <w:tc>
          <w:tcPr>
            <w:tcW w:w="9357" w:type="dxa"/>
            <w:hideMark/>
          </w:tcPr>
          <w:p w:rsidR="00C86684" w:rsidRPr="00D469B1" w:rsidRDefault="004B415B" w:rsidP="00E85C0B">
            <w:pPr>
              <w:ind w:left="142" w:right="141" w:firstLine="176"/>
              <w:jc w:val="both"/>
              <w:rPr>
                <w:rFonts w:cs="Times New Roman"/>
              </w:rPr>
            </w:pPr>
            <w:proofErr w:type="spellStart"/>
            <w:r w:rsidRPr="004B415B">
              <w:rPr>
                <w:rFonts w:cs="Times New Roman"/>
              </w:rPr>
              <w:t>Copy</w:t>
            </w:r>
            <w:proofErr w:type="spellEnd"/>
            <w:r w:rsidRPr="004B415B">
              <w:rPr>
                <w:rFonts w:cs="Times New Roman"/>
              </w:rPr>
              <w:t xml:space="preserve"> </w:t>
            </w:r>
            <w:proofErr w:type="spellStart"/>
            <w:r w:rsidRPr="004B415B">
              <w:rPr>
                <w:rFonts w:cs="Times New Roman"/>
              </w:rPr>
              <w:t>of</w:t>
            </w:r>
            <w:proofErr w:type="spellEnd"/>
            <w:r w:rsidRPr="004B415B">
              <w:rPr>
                <w:rFonts w:cs="Times New Roman"/>
              </w:rPr>
              <w:t xml:space="preserve"> </w:t>
            </w:r>
            <w:proofErr w:type="spellStart"/>
            <w:r w:rsidRPr="004B415B">
              <w:rPr>
                <w:rFonts w:cs="Times New Roman"/>
              </w:rPr>
              <w:t>the</w:t>
            </w:r>
            <w:proofErr w:type="spellEnd"/>
            <w:r w:rsidRPr="004B415B">
              <w:rPr>
                <w:rFonts w:cs="Times New Roman"/>
              </w:rPr>
              <w:t xml:space="preserve"> </w:t>
            </w:r>
            <w:proofErr w:type="spellStart"/>
            <w:r w:rsidRPr="004B415B">
              <w:rPr>
                <w:rFonts w:cs="Times New Roman"/>
              </w:rPr>
              <w:t>statute</w:t>
            </w:r>
            <w:proofErr w:type="spellEnd"/>
            <w:r w:rsidRPr="004B415B">
              <w:rPr>
                <w:rFonts w:cs="Times New Roman"/>
              </w:rPr>
              <w:t xml:space="preserve"> *</w:t>
            </w:r>
          </w:p>
        </w:tc>
      </w:tr>
      <w:tr w:rsidR="00C86684" w:rsidRPr="004B415B" w:rsidTr="00E85C0B">
        <w:trPr>
          <w:trHeight w:val="213"/>
        </w:trPr>
        <w:tc>
          <w:tcPr>
            <w:tcW w:w="703" w:type="dxa"/>
            <w:noWrap/>
          </w:tcPr>
          <w:p w:rsidR="00C86684" w:rsidRPr="00D469B1" w:rsidRDefault="00C86684" w:rsidP="00E85C0B">
            <w:pPr>
              <w:ind w:right="141"/>
              <w:jc w:val="both"/>
              <w:rPr>
                <w:rFonts w:cs="Times New Roman"/>
              </w:rPr>
            </w:pPr>
            <w:r>
              <w:rPr>
                <w:rFonts w:cs="Times New Roman"/>
              </w:rPr>
              <w:t>2</w:t>
            </w:r>
          </w:p>
        </w:tc>
        <w:tc>
          <w:tcPr>
            <w:tcW w:w="9357" w:type="dxa"/>
          </w:tcPr>
          <w:p w:rsidR="00C86684" w:rsidRPr="004B415B" w:rsidRDefault="004B415B" w:rsidP="00E85C0B">
            <w:pPr>
              <w:ind w:left="142" w:right="141" w:firstLine="176"/>
              <w:jc w:val="both"/>
              <w:rPr>
                <w:rFonts w:cs="Times New Roman"/>
                <w:lang w:val="en-US"/>
              </w:rPr>
            </w:pPr>
            <w:r w:rsidRPr="004B415B">
              <w:rPr>
                <w:rFonts w:cs="Times New Roman"/>
                <w:lang w:val="en-US"/>
              </w:rPr>
              <w:t>Copy of the certificate of state registration *</w:t>
            </w:r>
          </w:p>
        </w:tc>
      </w:tr>
      <w:tr w:rsidR="00C86684" w:rsidRPr="004B415B" w:rsidTr="00E85C0B">
        <w:trPr>
          <w:trHeight w:val="218"/>
        </w:trPr>
        <w:tc>
          <w:tcPr>
            <w:tcW w:w="703" w:type="dxa"/>
            <w:noWrap/>
          </w:tcPr>
          <w:p w:rsidR="00C86684" w:rsidRPr="00D469B1" w:rsidRDefault="00C86684" w:rsidP="00E85C0B">
            <w:pPr>
              <w:ind w:right="141"/>
              <w:jc w:val="both"/>
              <w:rPr>
                <w:rFonts w:cs="Times New Roman"/>
              </w:rPr>
            </w:pPr>
            <w:r>
              <w:rPr>
                <w:rFonts w:cs="Times New Roman"/>
              </w:rPr>
              <w:t>3</w:t>
            </w:r>
          </w:p>
        </w:tc>
        <w:tc>
          <w:tcPr>
            <w:tcW w:w="9357" w:type="dxa"/>
          </w:tcPr>
          <w:p w:rsidR="00C86684" w:rsidRPr="004B415B" w:rsidRDefault="004B415B" w:rsidP="00C86684">
            <w:pPr>
              <w:ind w:left="142" w:right="141" w:firstLine="176"/>
              <w:jc w:val="both"/>
              <w:rPr>
                <w:rFonts w:cs="Times New Roman"/>
                <w:lang w:val="en-US"/>
              </w:rPr>
            </w:pPr>
            <w:r w:rsidRPr="004B415B">
              <w:rPr>
                <w:rFonts w:cs="Times New Roman"/>
                <w:lang w:val="en-US"/>
              </w:rPr>
              <w:t>Copy of the certificate of registration with the tax authority *</w:t>
            </w:r>
          </w:p>
        </w:tc>
      </w:tr>
      <w:tr w:rsidR="00C86684" w:rsidRPr="004B415B" w:rsidTr="00E85C0B">
        <w:trPr>
          <w:trHeight w:val="207"/>
        </w:trPr>
        <w:tc>
          <w:tcPr>
            <w:tcW w:w="703" w:type="dxa"/>
            <w:noWrap/>
          </w:tcPr>
          <w:p w:rsidR="00C86684" w:rsidRPr="00D469B1" w:rsidRDefault="00E85C0B" w:rsidP="00E85C0B">
            <w:pPr>
              <w:ind w:right="141"/>
              <w:jc w:val="both"/>
              <w:rPr>
                <w:rFonts w:cs="Times New Roman"/>
              </w:rPr>
            </w:pPr>
            <w:r>
              <w:rPr>
                <w:rFonts w:cs="Times New Roman"/>
              </w:rPr>
              <w:t>4</w:t>
            </w:r>
          </w:p>
        </w:tc>
        <w:tc>
          <w:tcPr>
            <w:tcW w:w="9357" w:type="dxa"/>
          </w:tcPr>
          <w:p w:rsidR="00C86684" w:rsidRPr="004B415B" w:rsidRDefault="004B415B" w:rsidP="00C86684">
            <w:pPr>
              <w:ind w:left="142" w:right="141" w:firstLine="176"/>
              <w:jc w:val="both"/>
              <w:rPr>
                <w:rFonts w:cs="Times New Roman"/>
                <w:lang w:val="en-US"/>
              </w:rPr>
            </w:pPr>
            <w:r w:rsidRPr="004B415B">
              <w:rPr>
                <w:rFonts w:cs="Times New Roman"/>
                <w:lang w:val="en-US"/>
              </w:rPr>
              <w:t>Copies of licenses for banking operations *</w:t>
            </w:r>
          </w:p>
        </w:tc>
      </w:tr>
      <w:tr w:rsidR="00C86684" w:rsidRPr="004B415B" w:rsidTr="00E85C0B">
        <w:trPr>
          <w:trHeight w:val="212"/>
        </w:trPr>
        <w:tc>
          <w:tcPr>
            <w:tcW w:w="703" w:type="dxa"/>
            <w:noWrap/>
          </w:tcPr>
          <w:p w:rsidR="00C86684" w:rsidRPr="00D469B1" w:rsidRDefault="00E85C0B" w:rsidP="00E85C0B">
            <w:pPr>
              <w:ind w:right="141"/>
              <w:jc w:val="both"/>
              <w:rPr>
                <w:rFonts w:cs="Times New Roman"/>
              </w:rPr>
            </w:pPr>
            <w:r>
              <w:rPr>
                <w:rFonts w:cs="Times New Roman"/>
              </w:rPr>
              <w:t>5</w:t>
            </w:r>
          </w:p>
        </w:tc>
        <w:tc>
          <w:tcPr>
            <w:tcW w:w="9357" w:type="dxa"/>
          </w:tcPr>
          <w:p w:rsidR="00C86684" w:rsidRPr="004B415B" w:rsidRDefault="004B415B" w:rsidP="00C86684">
            <w:pPr>
              <w:ind w:left="142" w:right="141" w:firstLine="176"/>
              <w:jc w:val="both"/>
              <w:rPr>
                <w:rFonts w:cs="Times New Roman"/>
                <w:lang w:val="en-US"/>
              </w:rPr>
            </w:pPr>
            <w:r w:rsidRPr="004B415B">
              <w:rPr>
                <w:rFonts w:cs="Times New Roman"/>
                <w:lang w:val="en-US"/>
              </w:rPr>
              <w:t>Copies of documents confirming the authority of the head of the bank *</w:t>
            </w:r>
          </w:p>
        </w:tc>
      </w:tr>
      <w:tr w:rsidR="00C86684" w:rsidRPr="004B415B" w:rsidTr="00C86684">
        <w:trPr>
          <w:trHeight w:val="576"/>
        </w:trPr>
        <w:tc>
          <w:tcPr>
            <w:tcW w:w="703" w:type="dxa"/>
            <w:noWrap/>
          </w:tcPr>
          <w:p w:rsidR="00C86684" w:rsidRPr="00D469B1" w:rsidRDefault="00E85C0B" w:rsidP="00E85C0B">
            <w:pPr>
              <w:ind w:right="141"/>
              <w:jc w:val="both"/>
              <w:rPr>
                <w:rFonts w:cs="Times New Roman"/>
              </w:rPr>
            </w:pPr>
            <w:r>
              <w:rPr>
                <w:rFonts w:cs="Times New Roman"/>
              </w:rPr>
              <w:t>6</w:t>
            </w:r>
          </w:p>
        </w:tc>
        <w:tc>
          <w:tcPr>
            <w:tcW w:w="9357" w:type="dxa"/>
          </w:tcPr>
          <w:p w:rsidR="00C86684" w:rsidRPr="004B415B" w:rsidRDefault="004B415B" w:rsidP="00C86684">
            <w:pPr>
              <w:ind w:left="142" w:right="141" w:firstLine="176"/>
              <w:jc w:val="both"/>
              <w:rPr>
                <w:rFonts w:cs="Times New Roman"/>
                <w:lang w:val="en-US"/>
              </w:rPr>
            </w:pPr>
            <w:r w:rsidRPr="004B415B">
              <w:rPr>
                <w:rFonts w:cs="Times New Roman"/>
                <w:lang w:val="en-US"/>
              </w:rPr>
              <w:t>Document confirming the authority of the representative of the applicant bank (original or notarized copy)</w:t>
            </w:r>
          </w:p>
        </w:tc>
      </w:tr>
      <w:tr w:rsidR="00C86684" w:rsidRPr="004B415B" w:rsidTr="004B415B">
        <w:trPr>
          <w:trHeight w:val="349"/>
        </w:trPr>
        <w:tc>
          <w:tcPr>
            <w:tcW w:w="703" w:type="dxa"/>
            <w:noWrap/>
          </w:tcPr>
          <w:p w:rsidR="00C86684" w:rsidRPr="00D469B1" w:rsidRDefault="00E85C0B" w:rsidP="00E85C0B">
            <w:pPr>
              <w:ind w:right="141"/>
              <w:jc w:val="both"/>
              <w:rPr>
                <w:rFonts w:cs="Times New Roman"/>
              </w:rPr>
            </w:pPr>
            <w:r>
              <w:rPr>
                <w:rFonts w:cs="Times New Roman"/>
              </w:rPr>
              <w:t>7</w:t>
            </w:r>
          </w:p>
        </w:tc>
        <w:tc>
          <w:tcPr>
            <w:tcW w:w="9357" w:type="dxa"/>
            <w:hideMark/>
          </w:tcPr>
          <w:p w:rsidR="00C86684" w:rsidRPr="004B415B" w:rsidRDefault="004B415B" w:rsidP="00483F75">
            <w:pPr>
              <w:ind w:left="142" w:right="141" w:firstLine="176"/>
              <w:jc w:val="both"/>
              <w:rPr>
                <w:rFonts w:cs="Times New Roman"/>
                <w:lang w:val="en-US"/>
              </w:rPr>
            </w:pPr>
            <w:r w:rsidRPr="004B415B">
              <w:rPr>
                <w:rFonts w:cs="Times New Roman"/>
                <w:lang w:val="en-US"/>
              </w:rPr>
              <w:t>Information on the amount of the bank's own funds (capital) as of the last reporting date</w:t>
            </w:r>
          </w:p>
        </w:tc>
      </w:tr>
      <w:tr w:rsidR="00C86684" w:rsidRPr="004B415B" w:rsidTr="004B415B">
        <w:trPr>
          <w:trHeight w:val="567"/>
        </w:trPr>
        <w:tc>
          <w:tcPr>
            <w:tcW w:w="703" w:type="dxa"/>
            <w:noWrap/>
          </w:tcPr>
          <w:p w:rsidR="00C86684" w:rsidRPr="00D469B1" w:rsidRDefault="00E85C0B" w:rsidP="00E85C0B">
            <w:pPr>
              <w:ind w:right="141"/>
              <w:jc w:val="both"/>
              <w:rPr>
                <w:rFonts w:cs="Times New Roman"/>
              </w:rPr>
            </w:pPr>
            <w:r>
              <w:rPr>
                <w:rFonts w:cs="Times New Roman"/>
              </w:rPr>
              <w:t>8</w:t>
            </w:r>
          </w:p>
        </w:tc>
        <w:tc>
          <w:tcPr>
            <w:tcW w:w="9357" w:type="dxa"/>
          </w:tcPr>
          <w:p w:rsidR="00C86684" w:rsidRPr="004B415B" w:rsidRDefault="004B415B" w:rsidP="00483F75">
            <w:pPr>
              <w:ind w:left="142" w:right="141" w:firstLine="176"/>
              <w:jc w:val="both"/>
              <w:rPr>
                <w:rFonts w:cs="Times New Roman"/>
                <w:lang w:val="en-US"/>
              </w:rPr>
            </w:pPr>
            <w:r w:rsidRPr="004B415B">
              <w:rPr>
                <w:rFonts w:cs="Times New Roman"/>
                <w:lang w:val="en-US"/>
              </w:rPr>
              <w:t xml:space="preserve">A copy of the document certifying the assignment or confirmation of the international long-term credit rating by the rating agencies Fitch Ratings or Standard and Poor's is not lower than BB- or Moody's Investors Service not lower than "Ba3".  In case this document is made in a foreign language, a translation into Russian is provided along with it.  </w:t>
            </w:r>
          </w:p>
        </w:tc>
      </w:tr>
      <w:tr w:rsidR="00C86684" w:rsidRPr="004B415B" w:rsidTr="00483F75">
        <w:trPr>
          <w:trHeight w:val="502"/>
        </w:trPr>
        <w:tc>
          <w:tcPr>
            <w:tcW w:w="703" w:type="dxa"/>
            <w:noWrap/>
          </w:tcPr>
          <w:p w:rsidR="00C86684" w:rsidRPr="00D469B1" w:rsidRDefault="00B3072A" w:rsidP="00E85C0B">
            <w:pPr>
              <w:ind w:right="141"/>
              <w:jc w:val="both"/>
              <w:rPr>
                <w:rFonts w:cs="Times New Roman"/>
              </w:rPr>
            </w:pPr>
            <w:r>
              <w:rPr>
                <w:rFonts w:cs="Times New Roman"/>
              </w:rPr>
              <w:t>9</w:t>
            </w:r>
          </w:p>
        </w:tc>
        <w:tc>
          <w:tcPr>
            <w:tcW w:w="9357" w:type="dxa"/>
          </w:tcPr>
          <w:p w:rsidR="00C86684" w:rsidRPr="004B415B" w:rsidRDefault="004B415B" w:rsidP="00483F75">
            <w:pPr>
              <w:ind w:left="142" w:right="141" w:firstLine="176"/>
              <w:jc w:val="both"/>
              <w:rPr>
                <w:rFonts w:cs="Times New Roman"/>
                <w:lang w:val="en-US"/>
              </w:rPr>
            </w:pPr>
            <w:r w:rsidRPr="004B415B">
              <w:rPr>
                <w:rFonts w:cs="Times New Roman"/>
                <w:lang w:val="en-US"/>
              </w:rPr>
              <w:t>Copy of the certificate on the inclusion of the bank in the register of banks participating in the mandatory deposit insurance system</w:t>
            </w:r>
          </w:p>
        </w:tc>
      </w:tr>
      <w:tr w:rsidR="00C86684" w:rsidRPr="004B415B" w:rsidTr="00483F75">
        <w:trPr>
          <w:trHeight w:val="510"/>
        </w:trPr>
        <w:tc>
          <w:tcPr>
            <w:tcW w:w="703" w:type="dxa"/>
            <w:noWrap/>
          </w:tcPr>
          <w:p w:rsidR="00C86684" w:rsidRPr="00D469B1" w:rsidRDefault="00B3072A" w:rsidP="00E85C0B">
            <w:pPr>
              <w:ind w:right="141"/>
              <w:jc w:val="both"/>
              <w:rPr>
                <w:rFonts w:cs="Times New Roman"/>
              </w:rPr>
            </w:pPr>
            <w:r>
              <w:rPr>
                <w:rFonts w:cs="Times New Roman"/>
              </w:rPr>
              <w:t>10</w:t>
            </w:r>
          </w:p>
        </w:tc>
        <w:tc>
          <w:tcPr>
            <w:tcW w:w="9357" w:type="dxa"/>
          </w:tcPr>
          <w:p w:rsidR="00C86684" w:rsidRPr="004B415B" w:rsidRDefault="004B415B" w:rsidP="00D942EE">
            <w:pPr>
              <w:ind w:left="142" w:right="141" w:firstLine="176"/>
              <w:jc w:val="both"/>
              <w:rPr>
                <w:rFonts w:cs="Times New Roman"/>
                <w:lang w:val="en-US"/>
              </w:rPr>
            </w:pPr>
            <w:r w:rsidRPr="004B415B">
              <w:rPr>
                <w:lang w:val="en-US"/>
              </w:rPr>
              <w:t>Information on the absence of the existing impact measure applied to the credit institution by the Central Bank of the Russian Federation for violation of mandatory ratios established in accordance with the Law on the Bank of Russia</w:t>
            </w:r>
          </w:p>
        </w:tc>
      </w:tr>
      <w:tr w:rsidR="00C86684" w:rsidRPr="004B415B" w:rsidTr="00D721D9">
        <w:trPr>
          <w:trHeight w:val="864"/>
        </w:trPr>
        <w:tc>
          <w:tcPr>
            <w:tcW w:w="703" w:type="dxa"/>
            <w:noWrap/>
          </w:tcPr>
          <w:p w:rsidR="00C86684" w:rsidRPr="00D469B1" w:rsidRDefault="00B3072A" w:rsidP="00E85C0B">
            <w:pPr>
              <w:ind w:right="141"/>
              <w:jc w:val="both"/>
              <w:rPr>
                <w:rFonts w:cs="Times New Roman"/>
              </w:rPr>
            </w:pPr>
            <w:r>
              <w:rPr>
                <w:rFonts w:cs="Times New Roman"/>
              </w:rPr>
              <w:t>11</w:t>
            </w:r>
          </w:p>
        </w:tc>
        <w:tc>
          <w:tcPr>
            <w:tcW w:w="9357" w:type="dxa"/>
          </w:tcPr>
          <w:p w:rsidR="00C86684" w:rsidRPr="004B415B" w:rsidRDefault="004B415B" w:rsidP="00D942EE">
            <w:pPr>
              <w:ind w:left="142" w:right="141" w:firstLine="176"/>
              <w:jc w:val="both"/>
              <w:rPr>
                <w:rFonts w:cs="Times New Roman"/>
                <w:lang w:val="en-US"/>
              </w:rPr>
            </w:pPr>
            <w:r w:rsidRPr="004B415B">
              <w:rPr>
                <w:lang w:val="en-US"/>
              </w:rPr>
              <w:t>Information on the absence in the past 12 (twelve) months of the overdue monetary obligations of the credit institution with the Bank of Russia, including Bank of Russia loans and interest thereon</w:t>
            </w:r>
          </w:p>
        </w:tc>
      </w:tr>
      <w:tr w:rsidR="00B3072A" w:rsidRPr="004B415B" w:rsidTr="004B415B">
        <w:trPr>
          <w:trHeight w:val="431"/>
        </w:trPr>
        <w:tc>
          <w:tcPr>
            <w:tcW w:w="703" w:type="dxa"/>
            <w:noWrap/>
          </w:tcPr>
          <w:p w:rsidR="00B3072A" w:rsidRDefault="004F2825" w:rsidP="00E85C0B">
            <w:pPr>
              <w:ind w:right="141"/>
              <w:jc w:val="both"/>
              <w:rPr>
                <w:rFonts w:cs="Times New Roman"/>
              </w:rPr>
            </w:pPr>
            <w:r>
              <w:rPr>
                <w:rFonts w:cs="Times New Roman"/>
              </w:rPr>
              <w:t>12</w:t>
            </w:r>
          </w:p>
        </w:tc>
        <w:tc>
          <w:tcPr>
            <w:tcW w:w="9357" w:type="dxa"/>
          </w:tcPr>
          <w:p w:rsidR="00B3072A" w:rsidRPr="004B415B" w:rsidRDefault="004B415B" w:rsidP="004B415B">
            <w:pPr>
              <w:ind w:left="142" w:right="141" w:firstLine="176"/>
              <w:jc w:val="both"/>
              <w:rPr>
                <w:rFonts w:cs="Times New Roman"/>
                <w:lang w:val="en-US"/>
              </w:rPr>
            </w:pPr>
            <w:r w:rsidRPr="004B415B">
              <w:rPr>
                <w:rFonts w:cs="Times New Roman"/>
                <w:lang w:val="en-US"/>
              </w:rPr>
              <w:t xml:space="preserve">Draft bank deposit contract for the placement of the Fund's resources </w:t>
            </w:r>
          </w:p>
        </w:tc>
      </w:tr>
    </w:tbl>
    <w:p w:rsidR="00C86684" w:rsidRPr="004B415B" w:rsidRDefault="00C86684" w:rsidP="00C86684">
      <w:pPr>
        <w:ind w:left="142" w:right="141" w:firstLine="567"/>
        <w:jc w:val="both"/>
        <w:rPr>
          <w:rFonts w:cs="Times New Roman"/>
          <w:lang w:val="en-US"/>
        </w:rPr>
      </w:pPr>
    </w:p>
    <w:p w:rsidR="00D942EE" w:rsidRPr="004B415B" w:rsidRDefault="004B415B" w:rsidP="00C86684">
      <w:pPr>
        <w:jc w:val="both"/>
        <w:rPr>
          <w:rFonts w:cs="Times New Roman"/>
          <w:lang w:val="en-US"/>
        </w:rPr>
      </w:pPr>
      <w:r w:rsidRPr="004B415B">
        <w:rPr>
          <w:rFonts w:cs="Times New Roman"/>
          <w:lang w:val="en-US"/>
        </w:rPr>
        <w:t>Documents are certified in compliance with paragraph 2.23 of this Procedure.</w:t>
      </w: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Default="00D942EE"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Default="004B415B" w:rsidP="00C86684">
      <w:pPr>
        <w:jc w:val="both"/>
        <w:rPr>
          <w:rFonts w:cs="Times New Roman"/>
        </w:rPr>
      </w:pPr>
    </w:p>
    <w:p w:rsidR="004B415B" w:rsidRPr="004B415B" w:rsidRDefault="004B415B" w:rsidP="00C86684">
      <w:pPr>
        <w:jc w:val="both"/>
        <w:rPr>
          <w:rFonts w:cs="Times New Roman"/>
        </w:rPr>
      </w:pPr>
      <w:bookmarkStart w:id="0" w:name="_GoBack"/>
      <w:bookmarkEnd w:id="0"/>
    </w:p>
    <w:p w:rsidR="00D942EE" w:rsidRPr="004B415B" w:rsidRDefault="00D942EE" w:rsidP="00C86684">
      <w:pPr>
        <w:jc w:val="both"/>
        <w:rPr>
          <w:rFonts w:cs="Times New Roman"/>
          <w:lang w:val="en-US"/>
        </w:rPr>
      </w:pPr>
    </w:p>
    <w:p w:rsidR="00D942EE" w:rsidRPr="004B415B" w:rsidRDefault="00D942EE" w:rsidP="00C86684">
      <w:pPr>
        <w:jc w:val="both"/>
        <w:rPr>
          <w:rFonts w:cs="Times New Roman"/>
          <w:lang w:val="en-US"/>
        </w:rPr>
      </w:pPr>
    </w:p>
    <w:p w:rsidR="00D942EE" w:rsidRPr="004B415B" w:rsidRDefault="004B415B" w:rsidP="004B415B">
      <w:pPr>
        <w:jc w:val="both"/>
        <w:rPr>
          <w:rFonts w:cs="Times New Roman"/>
          <w:sz w:val="20"/>
          <w:szCs w:val="20"/>
          <w:lang w:val="en-US"/>
        </w:rPr>
      </w:pPr>
      <w:r w:rsidRPr="004B415B">
        <w:rPr>
          <w:rFonts w:cs="Times New Roman"/>
          <w:sz w:val="20"/>
          <w:szCs w:val="20"/>
          <w:lang w:val="en-US"/>
        </w:rPr>
        <w:t>* Documents marked with an asterisk may not be submitted as part of an application by banks that previously provided them to the Fund as part of other bids, but not more than 30 calendar days ago</w:t>
      </w:r>
    </w:p>
    <w:sectPr w:rsidR="00D942EE" w:rsidRPr="004B415B" w:rsidSect="00A84081">
      <w:footerReference w:type="default" r:id="rId9"/>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63" w:rsidRDefault="00906E63" w:rsidP="00256377">
      <w:r>
        <w:separator/>
      </w:r>
    </w:p>
  </w:endnote>
  <w:endnote w:type="continuationSeparator" w:id="0">
    <w:p w:rsidR="00906E63" w:rsidRDefault="00906E63"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11622"/>
      <w:docPartObj>
        <w:docPartGallery w:val="Page Numbers (Bottom of Page)"/>
        <w:docPartUnique/>
      </w:docPartObj>
    </w:sdtPr>
    <w:sdtEndPr>
      <w:rPr>
        <w:sz w:val="18"/>
        <w:szCs w:val="18"/>
      </w:rPr>
    </w:sdtEndPr>
    <w:sdtContent>
      <w:p w:rsidR="00D837A7" w:rsidRPr="00A84081" w:rsidRDefault="00D837A7">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4B415B">
          <w:rPr>
            <w:noProof/>
            <w:sz w:val="18"/>
            <w:szCs w:val="18"/>
          </w:rPr>
          <w:t>10</w:t>
        </w:r>
        <w:r w:rsidRPr="00A84081">
          <w:rPr>
            <w:sz w:val="18"/>
            <w:szCs w:val="18"/>
          </w:rPr>
          <w:fldChar w:fldCharType="end"/>
        </w:r>
      </w:p>
    </w:sdtContent>
  </w:sdt>
  <w:p w:rsidR="00D837A7" w:rsidRDefault="00D837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63" w:rsidRDefault="00906E63" w:rsidP="00256377">
      <w:r>
        <w:separator/>
      </w:r>
    </w:p>
  </w:footnote>
  <w:footnote w:type="continuationSeparator" w:id="0">
    <w:p w:rsidR="00906E63" w:rsidRDefault="00906E63"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1A0976F6"/>
    <w:multiLevelType w:val="hybridMultilevel"/>
    <w:tmpl w:val="CC4617F0"/>
    <w:lvl w:ilvl="0" w:tplc="6CD24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616C95"/>
    <w:multiLevelType w:val="hybridMultilevel"/>
    <w:tmpl w:val="A3683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10C224F"/>
    <w:multiLevelType w:val="hybridMultilevel"/>
    <w:tmpl w:val="98EC44B4"/>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48FA5E50"/>
    <w:multiLevelType w:val="hybridMultilevel"/>
    <w:tmpl w:val="09881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6342"/>
    <w:rsid w:val="000212D5"/>
    <w:rsid w:val="000258B8"/>
    <w:rsid w:val="0002627C"/>
    <w:rsid w:val="0003414D"/>
    <w:rsid w:val="00037ADA"/>
    <w:rsid w:val="0004532A"/>
    <w:rsid w:val="00045BEF"/>
    <w:rsid w:val="00052503"/>
    <w:rsid w:val="000541E8"/>
    <w:rsid w:val="00062BF7"/>
    <w:rsid w:val="00064F60"/>
    <w:rsid w:val="0008089F"/>
    <w:rsid w:val="000809FE"/>
    <w:rsid w:val="000867C1"/>
    <w:rsid w:val="0008760A"/>
    <w:rsid w:val="00096681"/>
    <w:rsid w:val="000B46D0"/>
    <w:rsid w:val="000C05CF"/>
    <w:rsid w:val="000C6729"/>
    <w:rsid w:val="000D1AD8"/>
    <w:rsid w:val="000D62C2"/>
    <w:rsid w:val="000D6A00"/>
    <w:rsid w:val="000E1CB8"/>
    <w:rsid w:val="00100DBE"/>
    <w:rsid w:val="00125F83"/>
    <w:rsid w:val="00127CA5"/>
    <w:rsid w:val="0013371A"/>
    <w:rsid w:val="00133E70"/>
    <w:rsid w:val="001355F4"/>
    <w:rsid w:val="0014177C"/>
    <w:rsid w:val="00143DAA"/>
    <w:rsid w:val="001855FC"/>
    <w:rsid w:val="00187831"/>
    <w:rsid w:val="001A7ECA"/>
    <w:rsid w:val="001C4EA3"/>
    <w:rsid w:val="001C56D0"/>
    <w:rsid w:val="001D1234"/>
    <w:rsid w:val="001D1810"/>
    <w:rsid w:val="001D34A0"/>
    <w:rsid w:val="001D4937"/>
    <w:rsid w:val="001D4F25"/>
    <w:rsid w:val="001E13AE"/>
    <w:rsid w:val="001E4396"/>
    <w:rsid w:val="002045A6"/>
    <w:rsid w:val="002244B9"/>
    <w:rsid w:val="002324E3"/>
    <w:rsid w:val="0023296E"/>
    <w:rsid w:val="00236566"/>
    <w:rsid w:val="00236ACD"/>
    <w:rsid w:val="00241709"/>
    <w:rsid w:val="002452B7"/>
    <w:rsid w:val="002469F4"/>
    <w:rsid w:val="00247425"/>
    <w:rsid w:val="00254796"/>
    <w:rsid w:val="00256377"/>
    <w:rsid w:val="00260B7B"/>
    <w:rsid w:val="00266FA2"/>
    <w:rsid w:val="00267232"/>
    <w:rsid w:val="00280F1B"/>
    <w:rsid w:val="002870E2"/>
    <w:rsid w:val="00293949"/>
    <w:rsid w:val="00297EF4"/>
    <w:rsid w:val="002A2E72"/>
    <w:rsid w:val="002B406E"/>
    <w:rsid w:val="002C0EEF"/>
    <w:rsid w:val="002C1E6F"/>
    <w:rsid w:val="002C38E3"/>
    <w:rsid w:val="002C7E28"/>
    <w:rsid w:val="002D5FED"/>
    <w:rsid w:val="00300E0C"/>
    <w:rsid w:val="003019F1"/>
    <w:rsid w:val="0031700D"/>
    <w:rsid w:val="003213FA"/>
    <w:rsid w:val="00322676"/>
    <w:rsid w:val="0034515A"/>
    <w:rsid w:val="00345A9C"/>
    <w:rsid w:val="0035401D"/>
    <w:rsid w:val="00356691"/>
    <w:rsid w:val="00383E49"/>
    <w:rsid w:val="00391EDA"/>
    <w:rsid w:val="00396537"/>
    <w:rsid w:val="00396ECC"/>
    <w:rsid w:val="003A4331"/>
    <w:rsid w:val="003A6238"/>
    <w:rsid w:val="003A7726"/>
    <w:rsid w:val="003B6123"/>
    <w:rsid w:val="003C025F"/>
    <w:rsid w:val="003C3825"/>
    <w:rsid w:val="003E146C"/>
    <w:rsid w:val="003F01A7"/>
    <w:rsid w:val="003F1B91"/>
    <w:rsid w:val="00401AAE"/>
    <w:rsid w:val="00411978"/>
    <w:rsid w:val="00413474"/>
    <w:rsid w:val="004160B5"/>
    <w:rsid w:val="00426AA6"/>
    <w:rsid w:val="00431096"/>
    <w:rsid w:val="004369D0"/>
    <w:rsid w:val="00437AD3"/>
    <w:rsid w:val="00443AB7"/>
    <w:rsid w:val="004463F2"/>
    <w:rsid w:val="004502FD"/>
    <w:rsid w:val="00450FF7"/>
    <w:rsid w:val="00464A70"/>
    <w:rsid w:val="00471F9B"/>
    <w:rsid w:val="004740F1"/>
    <w:rsid w:val="00477623"/>
    <w:rsid w:val="00483F75"/>
    <w:rsid w:val="00484478"/>
    <w:rsid w:val="00494BBA"/>
    <w:rsid w:val="004A241C"/>
    <w:rsid w:val="004A5331"/>
    <w:rsid w:val="004B1223"/>
    <w:rsid w:val="004B415B"/>
    <w:rsid w:val="004C0010"/>
    <w:rsid w:val="004C09A1"/>
    <w:rsid w:val="004C2679"/>
    <w:rsid w:val="004C6765"/>
    <w:rsid w:val="004D244F"/>
    <w:rsid w:val="004D610F"/>
    <w:rsid w:val="004F190C"/>
    <w:rsid w:val="004F2825"/>
    <w:rsid w:val="004F463A"/>
    <w:rsid w:val="004F6FAD"/>
    <w:rsid w:val="004F7760"/>
    <w:rsid w:val="00503191"/>
    <w:rsid w:val="00503E8D"/>
    <w:rsid w:val="005141A5"/>
    <w:rsid w:val="00522339"/>
    <w:rsid w:val="00527080"/>
    <w:rsid w:val="00530D4F"/>
    <w:rsid w:val="00533F36"/>
    <w:rsid w:val="00550947"/>
    <w:rsid w:val="005514B2"/>
    <w:rsid w:val="005608C3"/>
    <w:rsid w:val="005637C7"/>
    <w:rsid w:val="00580D94"/>
    <w:rsid w:val="00584E86"/>
    <w:rsid w:val="00586D06"/>
    <w:rsid w:val="005A1A04"/>
    <w:rsid w:val="005A379D"/>
    <w:rsid w:val="005C2CF6"/>
    <w:rsid w:val="005D0917"/>
    <w:rsid w:val="005E48CA"/>
    <w:rsid w:val="005F357E"/>
    <w:rsid w:val="005F4232"/>
    <w:rsid w:val="00602073"/>
    <w:rsid w:val="0060455B"/>
    <w:rsid w:val="00614B3A"/>
    <w:rsid w:val="00621D5F"/>
    <w:rsid w:val="00624EED"/>
    <w:rsid w:val="00627C57"/>
    <w:rsid w:val="006300DC"/>
    <w:rsid w:val="006419A3"/>
    <w:rsid w:val="00650F28"/>
    <w:rsid w:val="00651018"/>
    <w:rsid w:val="00657770"/>
    <w:rsid w:val="0066129E"/>
    <w:rsid w:val="0066244E"/>
    <w:rsid w:val="00662EEC"/>
    <w:rsid w:val="00664887"/>
    <w:rsid w:val="00664D99"/>
    <w:rsid w:val="00680E51"/>
    <w:rsid w:val="006A2230"/>
    <w:rsid w:val="006B36A6"/>
    <w:rsid w:val="006B78DA"/>
    <w:rsid w:val="006C2CCF"/>
    <w:rsid w:val="006D18CC"/>
    <w:rsid w:val="006D3E57"/>
    <w:rsid w:val="006E6028"/>
    <w:rsid w:val="006F1F13"/>
    <w:rsid w:val="006F3C12"/>
    <w:rsid w:val="00714B43"/>
    <w:rsid w:val="007271AE"/>
    <w:rsid w:val="00727C41"/>
    <w:rsid w:val="00730E27"/>
    <w:rsid w:val="00733B49"/>
    <w:rsid w:val="0074066A"/>
    <w:rsid w:val="00741D34"/>
    <w:rsid w:val="00742B56"/>
    <w:rsid w:val="007443EE"/>
    <w:rsid w:val="007458BC"/>
    <w:rsid w:val="00752E35"/>
    <w:rsid w:val="00762A31"/>
    <w:rsid w:val="00774A76"/>
    <w:rsid w:val="00776B48"/>
    <w:rsid w:val="007A2C8D"/>
    <w:rsid w:val="007B10B7"/>
    <w:rsid w:val="007B5305"/>
    <w:rsid w:val="007C042E"/>
    <w:rsid w:val="007C1EEB"/>
    <w:rsid w:val="007C2281"/>
    <w:rsid w:val="007C3992"/>
    <w:rsid w:val="007C53C7"/>
    <w:rsid w:val="007C7D80"/>
    <w:rsid w:val="007D2FCA"/>
    <w:rsid w:val="007D4CA3"/>
    <w:rsid w:val="007E0E2E"/>
    <w:rsid w:val="007E6D9B"/>
    <w:rsid w:val="007F45F8"/>
    <w:rsid w:val="007F5377"/>
    <w:rsid w:val="007F6FA3"/>
    <w:rsid w:val="008048A6"/>
    <w:rsid w:val="00813AD6"/>
    <w:rsid w:val="00823837"/>
    <w:rsid w:val="008265A3"/>
    <w:rsid w:val="00833551"/>
    <w:rsid w:val="00836FE6"/>
    <w:rsid w:val="00847FC6"/>
    <w:rsid w:val="00850E26"/>
    <w:rsid w:val="00856C8B"/>
    <w:rsid w:val="00857238"/>
    <w:rsid w:val="00860E55"/>
    <w:rsid w:val="0087574F"/>
    <w:rsid w:val="00890ECD"/>
    <w:rsid w:val="00894BDB"/>
    <w:rsid w:val="00897B89"/>
    <w:rsid w:val="008A1984"/>
    <w:rsid w:val="008A3DDF"/>
    <w:rsid w:val="008A7661"/>
    <w:rsid w:val="008A7C7D"/>
    <w:rsid w:val="008C123B"/>
    <w:rsid w:val="008C1956"/>
    <w:rsid w:val="008C237B"/>
    <w:rsid w:val="008C4DB5"/>
    <w:rsid w:val="008C57B6"/>
    <w:rsid w:val="008D7270"/>
    <w:rsid w:val="008F48F7"/>
    <w:rsid w:val="009033A8"/>
    <w:rsid w:val="00903EAF"/>
    <w:rsid w:val="00906E63"/>
    <w:rsid w:val="00925FEE"/>
    <w:rsid w:val="00931F8F"/>
    <w:rsid w:val="00950C4D"/>
    <w:rsid w:val="009537C8"/>
    <w:rsid w:val="00955666"/>
    <w:rsid w:val="00970F4C"/>
    <w:rsid w:val="009772F3"/>
    <w:rsid w:val="0098239F"/>
    <w:rsid w:val="00983396"/>
    <w:rsid w:val="009A4172"/>
    <w:rsid w:val="009B46AE"/>
    <w:rsid w:val="009C015A"/>
    <w:rsid w:val="009C1DF1"/>
    <w:rsid w:val="009C2943"/>
    <w:rsid w:val="009D47A3"/>
    <w:rsid w:val="009E6DC6"/>
    <w:rsid w:val="009F3DCE"/>
    <w:rsid w:val="00A165C9"/>
    <w:rsid w:val="00A20795"/>
    <w:rsid w:val="00A41ED5"/>
    <w:rsid w:val="00A4557D"/>
    <w:rsid w:val="00A630CF"/>
    <w:rsid w:val="00A84081"/>
    <w:rsid w:val="00A934FF"/>
    <w:rsid w:val="00A95B07"/>
    <w:rsid w:val="00AA0A07"/>
    <w:rsid w:val="00AA4954"/>
    <w:rsid w:val="00AB1E43"/>
    <w:rsid w:val="00AC315F"/>
    <w:rsid w:val="00B15C7A"/>
    <w:rsid w:val="00B25BD0"/>
    <w:rsid w:val="00B3072A"/>
    <w:rsid w:val="00B3278D"/>
    <w:rsid w:val="00B43C0A"/>
    <w:rsid w:val="00B43F24"/>
    <w:rsid w:val="00B44391"/>
    <w:rsid w:val="00B60143"/>
    <w:rsid w:val="00B66BBF"/>
    <w:rsid w:val="00B7044A"/>
    <w:rsid w:val="00B72898"/>
    <w:rsid w:val="00B82398"/>
    <w:rsid w:val="00B8695C"/>
    <w:rsid w:val="00BB3541"/>
    <w:rsid w:val="00BC0D1B"/>
    <w:rsid w:val="00BC119D"/>
    <w:rsid w:val="00BD332F"/>
    <w:rsid w:val="00BD451C"/>
    <w:rsid w:val="00BE7ED3"/>
    <w:rsid w:val="00BF647F"/>
    <w:rsid w:val="00BF735A"/>
    <w:rsid w:val="00C01544"/>
    <w:rsid w:val="00C0161D"/>
    <w:rsid w:val="00C05915"/>
    <w:rsid w:val="00C12370"/>
    <w:rsid w:val="00C1657F"/>
    <w:rsid w:val="00C3547F"/>
    <w:rsid w:val="00C35591"/>
    <w:rsid w:val="00C368BE"/>
    <w:rsid w:val="00C47429"/>
    <w:rsid w:val="00C62D03"/>
    <w:rsid w:val="00C72FB4"/>
    <w:rsid w:val="00C76D96"/>
    <w:rsid w:val="00C825D4"/>
    <w:rsid w:val="00C86684"/>
    <w:rsid w:val="00C977AE"/>
    <w:rsid w:val="00CA237C"/>
    <w:rsid w:val="00CB357B"/>
    <w:rsid w:val="00CB3712"/>
    <w:rsid w:val="00CB471F"/>
    <w:rsid w:val="00CB7F25"/>
    <w:rsid w:val="00CF4E98"/>
    <w:rsid w:val="00D016B1"/>
    <w:rsid w:val="00D1151D"/>
    <w:rsid w:val="00D17B15"/>
    <w:rsid w:val="00D26B59"/>
    <w:rsid w:val="00D3037F"/>
    <w:rsid w:val="00D469B1"/>
    <w:rsid w:val="00D57BF4"/>
    <w:rsid w:val="00D61DA4"/>
    <w:rsid w:val="00D721D9"/>
    <w:rsid w:val="00D731DE"/>
    <w:rsid w:val="00D74017"/>
    <w:rsid w:val="00D837A7"/>
    <w:rsid w:val="00D85CBE"/>
    <w:rsid w:val="00D942EE"/>
    <w:rsid w:val="00DA3B14"/>
    <w:rsid w:val="00DA4064"/>
    <w:rsid w:val="00DA4F31"/>
    <w:rsid w:val="00DA7963"/>
    <w:rsid w:val="00DB27DB"/>
    <w:rsid w:val="00DB7C8F"/>
    <w:rsid w:val="00DC134E"/>
    <w:rsid w:val="00DC295F"/>
    <w:rsid w:val="00DD393D"/>
    <w:rsid w:val="00DD5AE9"/>
    <w:rsid w:val="00DE0F6A"/>
    <w:rsid w:val="00DE61E9"/>
    <w:rsid w:val="00DF0B61"/>
    <w:rsid w:val="00E0754B"/>
    <w:rsid w:val="00E20C02"/>
    <w:rsid w:val="00E22B3E"/>
    <w:rsid w:val="00E30C64"/>
    <w:rsid w:val="00E35A4A"/>
    <w:rsid w:val="00E40AA1"/>
    <w:rsid w:val="00E40E83"/>
    <w:rsid w:val="00E57E6D"/>
    <w:rsid w:val="00E60FB2"/>
    <w:rsid w:val="00E6174B"/>
    <w:rsid w:val="00E63493"/>
    <w:rsid w:val="00E703BE"/>
    <w:rsid w:val="00E7080A"/>
    <w:rsid w:val="00E80018"/>
    <w:rsid w:val="00E85C0B"/>
    <w:rsid w:val="00E9411B"/>
    <w:rsid w:val="00EA3602"/>
    <w:rsid w:val="00EA73DC"/>
    <w:rsid w:val="00EB4A62"/>
    <w:rsid w:val="00EC6C3F"/>
    <w:rsid w:val="00EC6E27"/>
    <w:rsid w:val="00ED64D6"/>
    <w:rsid w:val="00EE1947"/>
    <w:rsid w:val="00EF21AE"/>
    <w:rsid w:val="00EF609A"/>
    <w:rsid w:val="00F113F0"/>
    <w:rsid w:val="00F15857"/>
    <w:rsid w:val="00F20293"/>
    <w:rsid w:val="00F24834"/>
    <w:rsid w:val="00F25400"/>
    <w:rsid w:val="00F35CDA"/>
    <w:rsid w:val="00F4257C"/>
    <w:rsid w:val="00F4673B"/>
    <w:rsid w:val="00F54474"/>
    <w:rsid w:val="00F6176F"/>
    <w:rsid w:val="00F6299D"/>
    <w:rsid w:val="00F7019A"/>
    <w:rsid w:val="00F80141"/>
    <w:rsid w:val="00F824D9"/>
    <w:rsid w:val="00F97960"/>
    <w:rsid w:val="00FA69D3"/>
    <w:rsid w:val="00FB64C4"/>
    <w:rsid w:val="00FC47EF"/>
    <w:rsid w:val="00FD5658"/>
    <w:rsid w:val="00FE5F74"/>
    <w:rsid w:val="00FE72BF"/>
    <w:rsid w:val="00FE7B4C"/>
    <w:rsid w:val="00FF028D"/>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9298">
      <w:bodyDiv w:val="1"/>
      <w:marLeft w:val="0"/>
      <w:marRight w:val="0"/>
      <w:marTop w:val="0"/>
      <w:marBottom w:val="0"/>
      <w:divBdr>
        <w:top w:val="none" w:sz="0" w:space="0" w:color="auto"/>
        <w:left w:val="none" w:sz="0" w:space="0" w:color="auto"/>
        <w:bottom w:val="none" w:sz="0" w:space="0" w:color="auto"/>
        <w:right w:val="none" w:sz="0" w:space="0" w:color="auto"/>
      </w:divBdr>
    </w:div>
    <w:div w:id="626550932">
      <w:bodyDiv w:val="1"/>
      <w:marLeft w:val="0"/>
      <w:marRight w:val="0"/>
      <w:marTop w:val="0"/>
      <w:marBottom w:val="0"/>
      <w:divBdr>
        <w:top w:val="none" w:sz="0" w:space="0" w:color="auto"/>
        <w:left w:val="none" w:sz="0" w:space="0" w:color="auto"/>
        <w:bottom w:val="none" w:sz="0" w:space="0" w:color="auto"/>
        <w:right w:val="none" w:sz="0" w:space="0" w:color="auto"/>
      </w:divBdr>
    </w:div>
    <w:div w:id="1035155699">
      <w:bodyDiv w:val="1"/>
      <w:marLeft w:val="0"/>
      <w:marRight w:val="0"/>
      <w:marTop w:val="0"/>
      <w:marBottom w:val="0"/>
      <w:divBdr>
        <w:top w:val="none" w:sz="0" w:space="0" w:color="auto"/>
        <w:left w:val="none" w:sz="0" w:space="0" w:color="auto"/>
        <w:bottom w:val="none" w:sz="0" w:space="0" w:color="auto"/>
        <w:right w:val="none" w:sz="0" w:space="0" w:color="auto"/>
      </w:divBdr>
    </w:div>
    <w:div w:id="1306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F00F-9272-4F84-96D6-9CDFF177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10</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fond87</dc:creator>
  <cp:keywords/>
  <dc:description/>
  <cp:lastModifiedBy>salnikova</cp:lastModifiedBy>
  <cp:revision>117</cp:revision>
  <dcterms:created xsi:type="dcterms:W3CDTF">2017-02-08T01:07:00Z</dcterms:created>
  <dcterms:modified xsi:type="dcterms:W3CDTF">2017-04-26T23:05:00Z</dcterms:modified>
</cp:coreProperties>
</file>